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7B696" w14:textId="77777777" w:rsidR="004F6157" w:rsidRDefault="004F6157" w:rsidP="004F6157">
      <w:pPr>
        <w:pStyle w:val="OTITLELEFTINDENT1RHTINDENT1"/>
        <w:ind w:right="1440"/>
        <w:jc w:val="center"/>
      </w:pPr>
      <w:bookmarkStart w:id="0" w:name="comebackhere"/>
      <w:bookmarkEnd w:id="0"/>
      <w:r>
        <w:t xml:space="preserve">RESOLUTION OF THE BOARD OF SUPERVISORS OF THE COUNTY OF ORANGE AUTHORIZING THE ISSUANCE OF A PENSION OBLIGATION DEBENTURE, THE ISSUANCE AND SALE OF TAXABLE PENSION OBLIGATION BONDS, THE EXECUTION AND DELIVERY OF A </w:t>
      </w:r>
      <w:r w:rsidR="004D6F99">
        <w:t>TE</w:t>
      </w:r>
      <w:r w:rsidR="00E56798">
        <w:t>NTH</w:t>
      </w:r>
      <w:r>
        <w:t xml:space="preserve"> SUPPLEMENTAL TRUST AGREEMENT AND A BOND PURCHASE AGREEMENT, AND OTHER MATTERS RELATING THERETO</w:t>
      </w:r>
    </w:p>
    <w:p w14:paraId="68545E19" w14:textId="77777777" w:rsidR="00902462" w:rsidRDefault="00902462" w:rsidP="004F6157">
      <w:pPr>
        <w:pStyle w:val="O-Center"/>
      </w:pPr>
    </w:p>
    <w:p w14:paraId="07AADB79" w14:textId="77777777" w:rsidR="004F6157" w:rsidRDefault="006071FF" w:rsidP="004F6157">
      <w:pPr>
        <w:pStyle w:val="O-Center"/>
      </w:pPr>
      <w:r>
        <w:t>December </w:t>
      </w:r>
      <w:r w:rsidR="00CD6AC4">
        <w:t>17, 2019</w:t>
      </w:r>
    </w:p>
    <w:p w14:paraId="40B26422" w14:textId="77777777" w:rsidR="004F6157" w:rsidRDefault="004F6157" w:rsidP="004F6157">
      <w:pPr>
        <w:pStyle w:val="O-BodyText1"/>
        <w:spacing w:after="0" w:line="480" w:lineRule="auto"/>
        <w:jc w:val="both"/>
      </w:pPr>
      <w:r>
        <w:rPr>
          <w:b/>
        </w:rPr>
        <w:t>WHEREAS,</w:t>
      </w:r>
      <w:r>
        <w:t xml:space="preserve"> the County of Orange (the “County”) adopted a retirement plan under the County Employees Retirement Law of 1937, being Chapter 3 of the Government Code of the State of California, Sections 31450 through 31898, inclusive, as amended (the “Retirement Law”); and</w:t>
      </w:r>
    </w:p>
    <w:p w14:paraId="16B84884" w14:textId="77777777" w:rsidR="004F6157" w:rsidRDefault="004F6157" w:rsidP="004F6157">
      <w:pPr>
        <w:pStyle w:val="O-BodyText1"/>
        <w:spacing w:line="480" w:lineRule="auto"/>
        <w:jc w:val="both"/>
      </w:pPr>
      <w:r>
        <w:rPr>
          <w:b/>
        </w:rPr>
        <w:t xml:space="preserve">WHEREAS, </w:t>
      </w:r>
      <w:r>
        <w:t xml:space="preserve">the Retirement Law obligates the County (1) to make normal annual contributions to the Orange County Employees Retirement System (the “System”) to fund the present value of pension benefits being earned by current employees, (2) to amortize the unfunded </w:t>
      </w:r>
      <w:r w:rsidR="003B3C4D">
        <w:t xml:space="preserve">actuarial </w:t>
      </w:r>
      <w:r>
        <w:t>accrued liability with respect to pension benefits already earned by current and former employees, and (3) to appropriate funds for the purposes described in the foregoing clauses (1) and (2); and</w:t>
      </w:r>
    </w:p>
    <w:p w14:paraId="36C2B377" w14:textId="77777777" w:rsidR="004F6157" w:rsidRDefault="004F6157" w:rsidP="004F6157">
      <w:pPr>
        <w:pStyle w:val="O-BodyText1"/>
        <w:spacing w:line="480" w:lineRule="auto"/>
        <w:jc w:val="both"/>
      </w:pPr>
      <w:r>
        <w:rPr>
          <w:b/>
        </w:rPr>
        <w:t>WHEREAS</w:t>
      </w:r>
      <w:r>
        <w:t>, under and pursuant to Resolution No. 06-209 (the “Pension Obligation Bond Resolution”) adopted on October 31, 2006, the County Board of Supervisors (the “Board”), among other authorizations, authorized the execution and delivery of a Debenture, the Trust Agreement (the “Master Trust Agreement”), dated as of January 1, 2007, the issuance of 2007 Series A Bonds, the issuance of additional Debentures and Additional Bonds (each as defined in the Master Trust Agreement) and the filing of a judicial validation action in connection therewith; and</w:t>
      </w:r>
    </w:p>
    <w:p w14:paraId="666BA8F4" w14:textId="77777777" w:rsidR="004F6157" w:rsidRDefault="004F6157" w:rsidP="004F6157">
      <w:pPr>
        <w:pStyle w:val="O-BodyText1"/>
        <w:spacing w:line="480" w:lineRule="auto"/>
        <w:jc w:val="both"/>
      </w:pPr>
      <w:r>
        <w:rPr>
          <w:b/>
        </w:rPr>
        <w:lastRenderedPageBreak/>
        <w:t xml:space="preserve">WHEREAS, </w:t>
      </w:r>
      <w:r>
        <w:t>the Superior Court of the State of California, County of Orange, entered a default judgment in the judicial validation action on December 14, 2006; and</w:t>
      </w:r>
    </w:p>
    <w:p w14:paraId="4B3D98D8" w14:textId="77777777" w:rsidR="004F6157" w:rsidRDefault="004F6157" w:rsidP="004F6157">
      <w:pPr>
        <w:pStyle w:val="O-BodyText1"/>
        <w:spacing w:line="480" w:lineRule="auto"/>
        <w:jc w:val="both"/>
        <w:rPr>
          <w:b/>
        </w:rPr>
      </w:pPr>
      <w:r>
        <w:rPr>
          <w:b/>
        </w:rPr>
        <w:t xml:space="preserve">WHEREAS, </w:t>
      </w:r>
      <w:r>
        <w:t xml:space="preserve">the County desires to evidence its obligation to pay a portion of its normal annual contribution and its amortization of the unfunded actuarial </w:t>
      </w:r>
      <w:r w:rsidR="003B3C4D">
        <w:t xml:space="preserve">accrued </w:t>
      </w:r>
      <w:r>
        <w:t xml:space="preserve">liability to the System for Fiscal Year </w:t>
      </w:r>
      <w:r w:rsidR="00CD6AC4">
        <w:t>2020-2021</w:t>
      </w:r>
      <w:r>
        <w:t xml:space="preserve"> by issuing a debenture (the “</w:t>
      </w:r>
      <w:r w:rsidR="00CD6AC4">
        <w:t>2020</w:t>
      </w:r>
      <w:r>
        <w:t xml:space="preserve"> Debenture”) to the System; and</w:t>
      </w:r>
    </w:p>
    <w:p w14:paraId="151D6825" w14:textId="77777777" w:rsidR="004F6157" w:rsidRDefault="004F6157" w:rsidP="004F6157">
      <w:pPr>
        <w:pStyle w:val="O-BodyText1"/>
        <w:spacing w:line="480" w:lineRule="auto"/>
        <w:jc w:val="both"/>
        <w:rPr>
          <w:b/>
        </w:rPr>
      </w:pPr>
      <w:r>
        <w:rPr>
          <w:b/>
        </w:rPr>
        <w:t xml:space="preserve">WHEREAS, </w:t>
      </w:r>
      <w:r>
        <w:t xml:space="preserve">the </w:t>
      </w:r>
      <w:r w:rsidR="00CD6AC4">
        <w:t>2020</w:t>
      </w:r>
      <w:r>
        <w:t xml:space="preserve"> Debenture shall be </w:t>
      </w:r>
      <w:proofErr w:type="spellStart"/>
      <w:r>
        <w:t>prepayable</w:t>
      </w:r>
      <w:proofErr w:type="spellEnd"/>
      <w:r>
        <w:t xml:space="preserve"> at a discount as determined by the System; and</w:t>
      </w:r>
    </w:p>
    <w:p w14:paraId="24310678" w14:textId="77777777" w:rsidR="004F6157" w:rsidRDefault="004F6157" w:rsidP="004F6157">
      <w:pPr>
        <w:pStyle w:val="O-BodyText1"/>
        <w:spacing w:after="0" w:line="480" w:lineRule="auto"/>
        <w:jc w:val="both"/>
      </w:pPr>
      <w:r>
        <w:rPr>
          <w:b/>
        </w:rPr>
        <w:t>WHEREAS,</w:t>
      </w:r>
      <w:r>
        <w:t xml:space="preserve"> the County desires to issue its Taxable Pension Obligation Bonds, </w:t>
      </w:r>
      <w:r w:rsidR="00CD6AC4">
        <w:t>2020</w:t>
      </w:r>
      <w:r>
        <w:t xml:space="preserve"> Series A (the “Bonds”) in an aggregate principal amount sufficient to refund the </w:t>
      </w:r>
      <w:r w:rsidR="00902462">
        <w:t>20</w:t>
      </w:r>
      <w:r w:rsidR="005F1C54">
        <w:t>20</w:t>
      </w:r>
      <w:r>
        <w:t xml:space="preserve"> Debenture and pay costs of issuance of the Bonds; and</w:t>
      </w:r>
    </w:p>
    <w:p w14:paraId="07D1F7D3" w14:textId="77777777" w:rsidR="004F6157" w:rsidRDefault="004F6157" w:rsidP="004F6157">
      <w:pPr>
        <w:pStyle w:val="O-BodyText1"/>
        <w:spacing w:after="0" w:line="480" w:lineRule="auto"/>
        <w:jc w:val="both"/>
      </w:pPr>
      <w:r>
        <w:rPr>
          <w:b/>
        </w:rPr>
        <w:t>WHEREAS,</w:t>
      </w:r>
      <w:r>
        <w:t xml:space="preserve"> the County desires to enter into a Bond Purchase Agreement with respect to the Bonds (the “Bond Purchase Agreement”) with </w:t>
      </w:r>
      <w:r w:rsidR="00A54D35">
        <w:t>the Orange County Treasurer, on behalf of the Orange County Investment Fund</w:t>
      </w:r>
      <w:r>
        <w:t>; and</w:t>
      </w:r>
    </w:p>
    <w:p w14:paraId="1D1CFF0B" w14:textId="77777777" w:rsidR="004F6157" w:rsidRDefault="004F6157" w:rsidP="004F6157">
      <w:pPr>
        <w:pStyle w:val="O-BodyText1"/>
        <w:spacing w:after="0" w:line="480" w:lineRule="auto"/>
        <w:jc w:val="both"/>
      </w:pPr>
      <w:r>
        <w:rPr>
          <w:b/>
        </w:rPr>
        <w:t>WHEREAS,</w:t>
      </w:r>
      <w:r>
        <w:t xml:space="preserve"> there have been presented to this meeting proposed forms of the following documents:</w:t>
      </w:r>
    </w:p>
    <w:p w14:paraId="7C7114F8" w14:textId="77777777" w:rsidR="004F6157" w:rsidRDefault="004F6157" w:rsidP="004F6157">
      <w:pPr>
        <w:pStyle w:val="TabbedL1"/>
        <w:numPr>
          <w:ilvl w:val="0"/>
          <w:numId w:val="10"/>
        </w:numPr>
        <w:spacing w:after="0" w:line="480" w:lineRule="auto"/>
      </w:pPr>
      <w:r>
        <w:t xml:space="preserve">the </w:t>
      </w:r>
      <w:r w:rsidR="00CD6AC4">
        <w:t>2020</w:t>
      </w:r>
      <w:r>
        <w:t xml:space="preserve"> Debenture;</w:t>
      </w:r>
    </w:p>
    <w:p w14:paraId="193E7558" w14:textId="77777777" w:rsidR="004F6157" w:rsidRDefault="004F6157" w:rsidP="004F6157">
      <w:pPr>
        <w:pStyle w:val="TabbedL1"/>
        <w:numPr>
          <w:ilvl w:val="0"/>
          <w:numId w:val="10"/>
        </w:numPr>
        <w:spacing w:after="0" w:line="480" w:lineRule="auto"/>
      </w:pPr>
      <w:r>
        <w:t>a</w:t>
      </w:r>
      <w:r w:rsidR="00E56798">
        <w:t xml:space="preserve"> </w:t>
      </w:r>
      <w:r w:rsidR="00CD6AC4">
        <w:t>Tenth</w:t>
      </w:r>
      <w:r>
        <w:t xml:space="preserve"> Supplemental Trust Agreement (the “</w:t>
      </w:r>
      <w:r w:rsidR="004D6F99">
        <w:t>Te</w:t>
      </w:r>
      <w:r w:rsidR="00E56798">
        <w:t>n</w:t>
      </w:r>
      <w:r w:rsidR="00A54D35">
        <w:t>th</w:t>
      </w:r>
      <w:r>
        <w:t xml:space="preserve"> Supplemental Trust Agreement”) to be entered into by the County and U.S. Bank National Association, as successor trustee (the “Trustee”), relating to the Bonds, including the form of Bond attached thereto as an exhibit; </w:t>
      </w:r>
      <w:r w:rsidR="00A54D35">
        <w:t>and</w:t>
      </w:r>
    </w:p>
    <w:p w14:paraId="0C285F34" w14:textId="77777777" w:rsidR="004F6157" w:rsidRDefault="00A54D35" w:rsidP="004F6157">
      <w:pPr>
        <w:pStyle w:val="TabbedL1"/>
        <w:numPr>
          <w:ilvl w:val="0"/>
          <w:numId w:val="10"/>
        </w:numPr>
        <w:spacing w:after="0" w:line="480" w:lineRule="auto"/>
      </w:pPr>
      <w:r>
        <w:t>the Bond Purchase Agreement.</w:t>
      </w:r>
    </w:p>
    <w:p w14:paraId="03D90425" w14:textId="77777777" w:rsidR="004F6157" w:rsidRDefault="004F6157" w:rsidP="004F6157">
      <w:pPr>
        <w:pStyle w:val="O-BodyText1"/>
        <w:spacing w:after="0" w:line="480" w:lineRule="auto"/>
        <w:jc w:val="both"/>
      </w:pPr>
      <w:r>
        <w:rPr>
          <w:b/>
          <w:bCs/>
        </w:rPr>
        <w:lastRenderedPageBreak/>
        <w:t>NOW, THEREFORE,</w:t>
      </w:r>
      <w:r>
        <w:rPr>
          <w:bCs/>
        </w:rPr>
        <w:t xml:space="preserve"> it is resolved, determined and ordered </w:t>
      </w:r>
      <w:r>
        <w:t>by the Board of Supervisors of the County of Orange as follows:</w:t>
      </w:r>
    </w:p>
    <w:p w14:paraId="3780A009" w14:textId="77777777" w:rsidR="004F6157" w:rsidRDefault="004F6157" w:rsidP="004F6157">
      <w:pPr>
        <w:pStyle w:val="TabbedL1"/>
        <w:numPr>
          <w:ilvl w:val="0"/>
          <w:numId w:val="9"/>
        </w:numPr>
        <w:spacing w:after="0" w:line="480" w:lineRule="auto"/>
        <w:jc w:val="both"/>
      </w:pPr>
      <w:r>
        <w:t xml:space="preserve">The Board hereby finds and declares that the issuance of the </w:t>
      </w:r>
      <w:bookmarkStart w:id="1" w:name="_Hlk21529783"/>
      <w:r w:rsidR="00CD6AC4">
        <w:t>2020</w:t>
      </w:r>
      <w:r>
        <w:t xml:space="preserve"> </w:t>
      </w:r>
      <w:bookmarkEnd w:id="1"/>
      <w:r>
        <w:t xml:space="preserve">Debenture, the issuance of the Bonds to refund the </w:t>
      </w:r>
      <w:r w:rsidR="00CD6AC4" w:rsidRPr="00CD6AC4">
        <w:t xml:space="preserve">2020 </w:t>
      </w:r>
      <w:r>
        <w:rPr>
          <w:bCs/>
        </w:rPr>
        <w:t xml:space="preserve">Debenture, </w:t>
      </w:r>
      <w:r>
        <w:t xml:space="preserve">and the other actions contemplated by this Resolution are in the best interests of the County and are expected to result in </w:t>
      </w:r>
      <w:r>
        <w:rPr>
          <w:bCs/>
        </w:rPr>
        <w:t xml:space="preserve">savings </w:t>
      </w:r>
      <w:r>
        <w:t>to the County.</w:t>
      </w:r>
    </w:p>
    <w:p w14:paraId="5C8853A2" w14:textId="77777777" w:rsidR="004F6157" w:rsidRDefault="004F6157" w:rsidP="004F6157">
      <w:pPr>
        <w:pStyle w:val="TabbedL1"/>
        <w:spacing w:after="0" w:line="480" w:lineRule="auto"/>
        <w:jc w:val="both"/>
      </w:pPr>
      <w:r>
        <w:t xml:space="preserve">The form of the </w:t>
      </w:r>
      <w:r w:rsidR="00CD6AC4" w:rsidRPr="00CD6AC4">
        <w:t xml:space="preserve">2020 </w:t>
      </w:r>
      <w:r>
        <w:t>Debenture is hereby approved.  The Chair</w:t>
      </w:r>
      <w:r w:rsidR="00701195">
        <w:t>woman</w:t>
      </w:r>
      <w:r>
        <w:t xml:space="preserve"> of the Board, the County Executive Officer or the County Public Finance </w:t>
      </w:r>
      <w:r w:rsidR="00686A60">
        <w:t>Director</w:t>
      </w:r>
      <w:r>
        <w:t xml:space="preserve"> or any designee thereof (each an “Authorized Officer”) are each hereby authorized and directed, jointly and severally, for and in the name and on behalf of the County, to execute and deliver the </w:t>
      </w:r>
      <w:r w:rsidR="00CD6AC4" w:rsidRPr="00CD6AC4">
        <w:t xml:space="preserve">2020 </w:t>
      </w:r>
      <w:r>
        <w:t xml:space="preserve">Debenture to the System in substantially said form, with such changes therein as such officer may require or approve, such approval to be conclusively evidenced by the execution and delivery thereof, and the </w:t>
      </w:r>
      <w:r>
        <w:rPr>
          <w:bCs/>
        </w:rPr>
        <w:t xml:space="preserve">Clerk </w:t>
      </w:r>
      <w:r>
        <w:t xml:space="preserve">of the </w:t>
      </w:r>
      <w:r>
        <w:rPr>
          <w:bCs/>
        </w:rPr>
        <w:t xml:space="preserve">Board </w:t>
      </w:r>
      <w:r>
        <w:t xml:space="preserve">is </w:t>
      </w:r>
      <w:r>
        <w:rPr>
          <w:bCs/>
        </w:rPr>
        <w:t xml:space="preserve">authorized </w:t>
      </w:r>
      <w:r>
        <w:t xml:space="preserve">and directed to affix to the </w:t>
      </w:r>
      <w:r w:rsidR="00CD6AC4" w:rsidRPr="00CD6AC4">
        <w:t xml:space="preserve">2020 </w:t>
      </w:r>
      <w:r>
        <w:t>Debenture</w:t>
      </w:r>
      <w:r>
        <w:rPr>
          <w:bCs/>
        </w:rPr>
        <w:t xml:space="preserve"> and </w:t>
      </w:r>
      <w:r>
        <w:t xml:space="preserve">attest </w:t>
      </w:r>
      <w:r>
        <w:rPr>
          <w:bCs/>
        </w:rPr>
        <w:t xml:space="preserve">the seal of </w:t>
      </w:r>
      <w:r>
        <w:t xml:space="preserve">the County; </w:t>
      </w:r>
      <w:r>
        <w:rPr>
          <w:bCs/>
        </w:rPr>
        <w:t xml:space="preserve">provided, however, that the </w:t>
      </w:r>
      <w:r w:rsidR="00CD6AC4" w:rsidRPr="00CD6AC4">
        <w:rPr>
          <w:bCs/>
        </w:rPr>
        <w:t xml:space="preserve">2020 </w:t>
      </w:r>
      <w:r>
        <w:rPr>
          <w:bCs/>
        </w:rPr>
        <w:t>Debenture</w:t>
      </w:r>
      <w:r>
        <w:t xml:space="preserve"> shall be in a principal amount not to exceed the estimated annual contribution of the County to the System for the 20</w:t>
      </w:r>
      <w:r w:rsidR="00E56798">
        <w:t>20</w:t>
      </w:r>
      <w:r w:rsidR="00CD6AC4">
        <w:t>-2021</w:t>
      </w:r>
      <w:r>
        <w:t xml:space="preserve"> Fiscal Year and the prepayment amount shall not exceed the prepayment amount determined by the System’s actuary</w:t>
      </w:r>
      <w:r>
        <w:rPr>
          <w:bCs/>
          <w:color w:val="0C0A0C"/>
        </w:rPr>
        <w:t>.</w:t>
      </w:r>
    </w:p>
    <w:p w14:paraId="74FD49EF" w14:textId="77777777" w:rsidR="004F6157" w:rsidRDefault="004F6157" w:rsidP="004F6157">
      <w:pPr>
        <w:pStyle w:val="TabbedL1"/>
        <w:spacing w:after="0" w:line="480" w:lineRule="auto"/>
        <w:jc w:val="both"/>
      </w:pPr>
      <w:r>
        <w:t>The Board hereby authorizes and approves the issuance of the Bonds and hereby authorizes and directs the Chair</w:t>
      </w:r>
      <w:r w:rsidR="00701195">
        <w:t>woman</w:t>
      </w:r>
      <w:r>
        <w:t xml:space="preserve"> of the Board to execute the Bonds by manual or facsimile signature and to cause the Bonds to be authenticated and delivered in accordance with the </w:t>
      </w:r>
      <w:r w:rsidR="004D6F99">
        <w:t>Te</w:t>
      </w:r>
      <w:r w:rsidR="00E56798">
        <w:t>nth</w:t>
      </w:r>
      <w:r>
        <w:t xml:space="preserve"> Supplemental </w:t>
      </w:r>
      <w:r>
        <w:rPr>
          <w:iCs/>
        </w:rPr>
        <w:t xml:space="preserve">Trust </w:t>
      </w:r>
      <w:r>
        <w:t xml:space="preserve">Agreement, and the Clerk of the Board to countersign the Bonds by manual or facsimile signature.  The Bonds shall be in substantially the form set forth in Exhibit A to the </w:t>
      </w:r>
      <w:r w:rsidR="004D6F99">
        <w:t>Te</w:t>
      </w:r>
      <w:r w:rsidR="00E56798">
        <w:t>n</w:t>
      </w:r>
      <w:r w:rsidR="00902462">
        <w:t>th</w:t>
      </w:r>
      <w:r>
        <w:t xml:space="preserve"> Supplemental Trust Agreement, with such changes therein, deletions therefrom and </w:t>
      </w:r>
      <w:r>
        <w:lastRenderedPageBreak/>
        <w:t>additions thereto as any Authorized Officer shall approve, such approval to be conclusively evidenced by the issuance of the Bonds; provided, however, that (a) the aggregate principal amount of the Bonds shall not exceed the lesser of (</w:t>
      </w:r>
      <w:proofErr w:type="spellStart"/>
      <w:r>
        <w:t>i</w:t>
      </w:r>
      <w:proofErr w:type="spellEnd"/>
      <w:r>
        <w:t xml:space="preserve">) the prepayment amount of the </w:t>
      </w:r>
      <w:r w:rsidR="00CD6AC4" w:rsidRPr="00CD6AC4">
        <w:t xml:space="preserve">2020 </w:t>
      </w:r>
      <w:r>
        <w:t xml:space="preserve">Debenture, plus an amount </w:t>
      </w:r>
      <w:r>
        <w:rPr>
          <w:iCs/>
        </w:rPr>
        <w:t xml:space="preserve">not to </w:t>
      </w:r>
      <w:r>
        <w:t>exceed the costs of issuance relating to the Bonds, or (ii) $</w:t>
      </w:r>
      <w:r w:rsidR="00701195">
        <w:t>499,000,000</w:t>
      </w:r>
      <w:r>
        <w:t>, (b) the Bonds shall mature not later than June 30, 20</w:t>
      </w:r>
      <w:r w:rsidR="00E56798">
        <w:t>2</w:t>
      </w:r>
      <w:r w:rsidR="00CD6AC4">
        <w:t>1</w:t>
      </w:r>
      <w:r>
        <w:t>, and (c) the true interest cost on the Bonds shall not exceed</w:t>
      </w:r>
      <w:r w:rsidR="00936704">
        <w:t xml:space="preserve"> </w:t>
      </w:r>
      <w:r w:rsidR="00701195">
        <w:t>four</w:t>
      </w:r>
      <w:r w:rsidR="00936704">
        <w:t xml:space="preserve"> percent (</w:t>
      </w:r>
      <w:r w:rsidR="00701195">
        <w:t>4</w:t>
      </w:r>
      <w:r>
        <w:t>%</w:t>
      </w:r>
      <w:r w:rsidR="00936704">
        <w:t xml:space="preserve">) </w:t>
      </w:r>
      <w:r>
        <w:t>per annum.  Each determination by such Authorized Officer shall be conclusively evidenced by the issuance of the Bonds.</w:t>
      </w:r>
    </w:p>
    <w:p w14:paraId="340A5F18" w14:textId="77777777" w:rsidR="004F6157" w:rsidRDefault="004F6157" w:rsidP="004F6157">
      <w:pPr>
        <w:pStyle w:val="TabbedL1"/>
        <w:spacing w:after="0" w:line="480" w:lineRule="auto"/>
        <w:jc w:val="both"/>
      </w:pPr>
      <w:r>
        <w:t xml:space="preserve">The form of the </w:t>
      </w:r>
      <w:r w:rsidR="00CD6AC4">
        <w:t>Tenth</w:t>
      </w:r>
      <w:r>
        <w:t xml:space="preserve"> Supplemental Trust Agreement is hereby approved.  Any Authorized Officer is hereby authorized and directed, for and in the name and on behalf of the County, to execute and deliver the </w:t>
      </w:r>
      <w:r w:rsidR="00CD6AC4" w:rsidRPr="00CD6AC4">
        <w:t xml:space="preserve">Tenth </w:t>
      </w:r>
      <w:r>
        <w:t xml:space="preserve">Supplemental Trust Agreement in substantially said form, with such changes therein as such officer may require or approve, such approval to be conclusively evidenced by the execution and delivery thereof.  The date, maturity dates, interest rates, interest payment dates, denominations, form, registration privileges, manner of execution, place of payment and other terms of the Bonds shall be as provided in the </w:t>
      </w:r>
      <w:r w:rsidR="00CD6AC4" w:rsidRPr="00CD6AC4">
        <w:t xml:space="preserve">Tenth </w:t>
      </w:r>
      <w:r>
        <w:t>Supplemental Trust Agreement as finally executed.</w:t>
      </w:r>
    </w:p>
    <w:p w14:paraId="0CEEEC92" w14:textId="77777777" w:rsidR="004F6157" w:rsidRDefault="004F6157" w:rsidP="004F6157">
      <w:pPr>
        <w:pStyle w:val="TabbedL1"/>
        <w:spacing w:after="0" w:line="480" w:lineRule="auto"/>
        <w:jc w:val="both"/>
      </w:pPr>
      <w:r>
        <w:t>The form of the Bond Purchase Agreement is hereby approved.  Any Authorized Officer is hereby authorized and directed, for and in the name and on behalf of the County, to execute and deliver the Bond Purchase Agreement in substantially said form, with such changes therein as such officer may require or approve, such approval to be conclusively evidenced by the execution and delivery thereof</w:t>
      </w:r>
      <w:r w:rsidR="006F441A">
        <w:t>.</w:t>
      </w:r>
    </w:p>
    <w:p w14:paraId="44F65024" w14:textId="77777777" w:rsidR="004F6157" w:rsidRDefault="004F6157" w:rsidP="004F6157">
      <w:pPr>
        <w:pStyle w:val="TabbedL1"/>
        <w:spacing w:after="0" w:line="480" w:lineRule="auto"/>
        <w:jc w:val="both"/>
        <w:rPr>
          <w:bCs/>
          <w:iCs/>
        </w:rPr>
      </w:pPr>
      <w:r>
        <w:t xml:space="preserve">All terms, provisions and authorizations of the Pension Obligation Bond Resolution and the Master Trust Agreement shall remain in full force and effect.  The Authorized Officers and other appropriate officers and employees of the County are hereby </w:t>
      </w:r>
      <w:r>
        <w:lastRenderedPageBreak/>
        <w:t xml:space="preserve">authorized and directed, jointly and severally, to do any and all things and to execute and deliver any and all documents and certificates and to pay costs of issuance of the Bonds, including, but not limited to, paying the fees and expenses of Orrick, Herrington &amp; Sutcliffe LLP, Bond Counsel, </w:t>
      </w:r>
      <w:proofErr w:type="spellStart"/>
      <w:r w:rsidR="00E11A0A">
        <w:t>Fieldman</w:t>
      </w:r>
      <w:proofErr w:type="spellEnd"/>
      <w:r w:rsidR="00E11A0A">
        <w:t xml:space="preserve">, </w:t>
      </w:r>
      <w:proofErr w:type="spellStart"/>
      <w:r w:rsidR="00E11A0A">
        <w:t>Rolapp</w:t>
      </w:r>
      <w:proofErr w:type="spellEnd"/>
      <w:r w:rsidR="00E11A0A">
        <w:t xml:space="preserve"> &amp; Associates, Inc.</w:t>
      </w:r>
      <w:r>
        <w:t xml:space="preserve">, as the </w:t>
      </w:r>
      <w:r w:rsidR="009306D0">
        <w:t>Municipal</w:t>
      </w:r>
      <w:r>
        <w:t xml:space="preserve"> Advisor, the Trustee, </w:t>
      </w:r>
      <w:r w:rsidR="00A54D35">
        <w:t xml:space="preserve">and </w:t>
      </w:r>
      <w:r>
        <w:t>the actuary which they may deem necessary or advisable in order to consummate the issuance of the Bonds, and otherwise to carry out, give effect to and comply with the terms and intent of this resolution.  Such actions heretofore taken by such officers and employees are hereby ratified, confirmed and approved.</w:t>
      </w:r>
    </w:p>
    <w:p w14:paraId="386D4A46" w14:textId="77777777" w:rsidR="00707BCE" w:rsidRDefault="004F6157" w:rsidP="004F6157">
      <w:pPr>
        <w:pStyle w:val="TabbedL1"/>
        <w:spacing w:after="0" w:line="480" w:lineRule="auto"/>
        <w:jc w:val="both"/>
      </w:pPr>
      <w:r>
        <w:t>This resolution shall take effect immediately upon its passage.</w:t>
      </w:r>
    </w:p>
    <w:p w14:paraId="53C7270F" w14:textId="5686D56D" w:rsidR="004F6157" w:rsidRPr="004F6157" w:rsidRDefault="004F0608" w:rsidP="00757CFE">
      <w:pPr>
        <w:pStyle w:val="O-BodyText1J"/>
      </w:pPr>
      <w:bookmarkStart w:id="2" w:name="_GoBack"/>
      <w:r>
        <w:rPr>
          <w:noProof/>
        </w:rPr>
        <mc:AlternateContent>
          <mc:Choice Requires="wps">
            <w:drawing>
              <wp:anchor distT="0" distB="0" distL="114300" distR="114300" simplePos="0" relativeHeight="251659264" behindDoc="0" locked="0" layoutInCell="1" allowOverlap="1" wp14:anchorId="0DB6ACEA" wp14:editId="633CFA5A">
                <wp:simplePos x="0" y="0"/>
                <wp:positionH relativeFrom="column">
                  <wp:posOffset>119743</wp:posOffset>
                </wp:positionH>
                <wp:positionV relativeFrom="paragraph">
                  <wp:posOffset>317863</wp:posOffset>
                </wp:positionV>
                <wp:extent cx="5878286" cy="4626428"/>
                <wp:effectExtent l="0" t="0" r="27305" b="22225"/>
                <wp:wrapNone/>
                <wp:docPr id="1" name="Straight Connector 1"/>
                <wp:cNvGraphicFramePr/>
                <a:graphic xmlns:a="http://schemas.openxmlformats.org/drawingml/2006/main">
                  <a:graphicData uri="http://schemas.microsoft.com/office/word/2010/wordprocessingShape">
                    <wps:wsp>
                      <wps:cNvCnPr/>
                      <wps:spPr>
                        <a:xfrm>
                          <a:off x="0" y="0"/>
                          <a:ext cx="5878286" cy="46264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9D9B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45pt,25.05pt" to="472.3pt,3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" strokecolor="#009160 [3044]"/>
            </w:pict>
          </mc:Fallback>
        </mc:AlternateContent>
      </w:r>
      <w:bookmarkEnd w:id="2"/>
    </w:p>
    <w:sectPr w:rsidR="004F6157" w:rsidRPr="004F6157" w:rsidSect="00361A46">
      <w:footerReference w:type="defaul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239E" w14:textId="77777777" w:rsidR="004F6157" w:rsidRDefault="004F6157">
      <w:pPr>
        <w:spacing w:after="0"/>
      </w:pPr>
      <w:r>
        <w:separator/>
      </w:r>
    </w:p>
  </w:endnote>
  <w:endnote w:type="continuationSeparator" w:id="0">
    <w:p w14:paraId="239306E7" w14:textId="77777777" w:rsidR="004F6157" w:rsidRDefault="004F6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8B44" w14:textId="77777777" w:rsidR="00513E72" w:rsidRDefault="00513E72">
    <w:pPr>
      <w:pStyle w:val="Footer"/>
    </w:pPr>
  </w:p>
  <w:p w14:paraId="2FFF960E" w14:textId="2084E8BE" w:rsidR="00CF71F1" w:rsidRDefault="00CF71F1" w:rsidP="00CF71F1">
    <w:pPr>
      <w:pStyle w:val="Footer"/>
    </w:pPr>
    <w:r>
      <w:t>Resolution No.  _</w:t>
    </w:r>
    <w:r w:rsidR="004F0608">
      <w:rPr>
        <w:u w:val="single"/>
      </w:rPr>
      <w:t>19-130</w:t>
    </w:r>
    <w:r>
      <w:t>, Item No.  _</w:t>
    </w:r>
    <w:r w:rsidR="004F0608">
      <w:rPr>
        <w:u w:val="single"/>
      </w:rPr>
      <w:t>27</w:t>
    </w:r>
    <w:r>
      <w:t>_</w:t>
    </w:r>
    <w:r>
      <w:tab/>
    </w:r>
    <w:r>
      <w:tab/>
      <w:t xml:space="preserve">Page </w:t>
    </w:r>
    <w:r>
      <w:fldChar w:fldCharType="begin"/>
    </w:r>
    <w:r>
      <w:instrText xml:space="preserve"> PAGE  \* Arabic  \* MERGEFORMAT </w:instrText>
    </w:r>
    <w:r>
      <w:fldChar w:fldCharType="separate"/>
    </w:r>
    <w:r w:rsidR="000D45BE">
      <w:rPr>
        <w:noProof/>
      </w:rPr>
      <w:t>2</w:t>
    </w:r>
    <w:r>
      <w:fldChar w:fldCharType="end"/>
    </w:r>
    <w:r>
      <w:t xml:space="preserve"> of 5</w:t>
    </w:r>
  </w:p>
  <w:p w14:paraId="7B2C7591" w14:textId="77777777" w:rsidR="00B768BB" w:rsidRDefault="00CF71F1">
    <w:pPr>
      <w:pStyle w:val="Footer"/>
    </w:pPr>
    <w:r>
      <w:t>Taxable Pension Obligation Bonds</w:t>
    </w:r>
    <w:r w:rsidR="00513E7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E402" w14:textId="64062620" w:rsidR="00513E72" w:rsidRDefault="00513E72">
    <w:pPr>
      <w:pStyle w:val="Footer"/>
    </w:pPr>
    <w:r>
      <w:t>Resolution No.  _</w:t>
    </w:r>
    <w:r w:rsidR="004F0608">
      <w:rPr>
        <w:u w:val="single"/>
      </w:rPr>
      <w:t>19-130</w:t>
    </w:r>
    <w:r>
      <w:t>, Item No.  _</w:t>
    </w:r>
    <w:r w:rsidR="004F0608">
      <w:rPr>
        <w:u w:val="single"/>
      </w:rPr>
      <w:t>27</w:t>
    </w:r>
    <w:r>
      <w:t>_</w:t>
    </w:r>
    <w:r w:rsidR="00CF71F1">
      <w:tab/>
    </w:r>
    <w:r w:rsidR="00CF71F1">
      <w:tab/>
      <w:t>Page 1 of 5</w:t>
    </w:r>
  </w:p>
  <w:p w14:paraId="6D920A73" w14:textId="77777777" w:rsidR="00B768BB" w:rsidRDefault="00286DA2">
    <w:pPr>
      <w:pStyle w:val="Footer"/>
    </w:pPr>
    <w:r>
      <w:t xml:space="preserve">Taxable </w:t>
    </w:r>
    <w:r w:rsidR="00513E72">
      <w:t>Pension Obligation Bonds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25D2B" w14:textId="77777777" w:rsidR="004F6157" w:rsidRDefault="004F6157">
      <w:pPr>
        <w:spacing w:after="0"/>
      </w:pPr>
      <w:r>
        <w:separator/>
      </w:r>
    </w:p>
  </w:footnote>
  <w:footnote w:type="continuationSeparator" w:id="0">
    <w:p w14:paraId="6C3E20AC" w14:textId="77777777" w:rsidR="004F6157" w:rsidRDefault="004F61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32BF"/>
    <w:multiLevelType w:val="hybridMultilevel"/>
    <w:tmpl w:val="4D948322"/>
    <w:lvl w:ilvl="0" w:tplc="211CB754">
      <w:start w:val="1"/>
      <w:numFmt w:val="decimal"/>
      <w:lvlText w:val="%1."/>
      <w:lvlJc w:val="left"/>
      <w:pPr>
        <w:tabs>
          <w:tab w:val="num" w:pos="2160"/>
        </w:tabs>
        <w:ind w:left="0" w:firstLine="144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2"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350943"/>
    <w:multiLevelType w:val="hybridMultilevel"/>
    <w:tmpl w:val="82D6BDF4"/>
    <w:lvl w:ilvl="0" w:tplc="836AEF58">
      <w:start w:val="1"/>
      <w:numFmt w:val="bullet"/>
      <w:pStyle w:val="OResumeSidebarBullet"/>
      <w:lvlText w:val=""/>
      <w:lvlJc w:val="left"/>
      <w:pPr>
        <w:tabs>
          <w:tab w:val="num" w:pos="180"/>
        </w:tabs>
        <w:ind w:left="180" w:hanging="18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F60415"/>
    <w:multiLevelType w:val="multilevel"/>
    <w:tmpl w:val="2BCA370E"/>
    <w:name w:val="zzmpTabbed||Tabbed|2|1|1|1|0|0||1|0|0||1|0|0||1|0|0||1|0|0||1|0|0||1|0|0||1|0|0||1|0|0||"/>
    <w:lvl w:ilvl="0">
      <w:start w:val="1"/>
      <w:numFmt w:val="decimal"/>
      <w:pStyle w:val="TabbedL1"/>
      <w:lvlText w:val="Section %1."/>
      <w:lvlJc w:val="left"/>
      <w:pPr>
        <w:tabs>
          <w:tab w:val="num" w:pos="2160"/>
        </w:tabs>
        <w:ind w:left="0" w:firstLine="1440"/>
      </w:pPr>
      <w:rPr>
        <w:rFonts w:hint="default"/>
        <w:b/>
        <w:i w:val="0"/>
        <w:caps w:val="0"/>
        <w:strike w:val="0"/>
        <w:dstrike w:val="0"/>
        <w:vanish w:val="0"/>
        <w:color w:val="auto"/>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0" w:firstLine="21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left="0" w:firstLine="288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left="0" w:firstLine="360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left="0" w:firstLine="43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left="0" w:firstLine="50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left="0" w:firstLine="57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left="0" w:firstLine="648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A86F0C"/>
    <w:multiLevelType w:val="hybridMultilevel"/>
    <w:tmpl w:val="F21A9204"/>
    <w:lvl w:ilvl="0" w:tplc="268C1102">
      <w:start w:val="1"/>
      <w:numFmt w:val="bullet"/>
      <w:pStyle w:val="OResumeArticle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6"/>
  </w:num>
  <w:num w:numId="6">
    <w:abstractNumId w:val="8"/>
  </w:num>
  <w:num w:numId="7">
    <w:abstractNumId w:val="3"/>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charlieh\AppData\Local\Temp\50228c7f-cb97-4bdd-b074-51b872c04bdf.docx"/>
    <w:docVar w:name="strDocID" w:val="4148-6430-2863"/>
    <w:docVar w:name="zzmp10LastTrailerInserted" w:val="^`~#mp!@;⌓N#⌍┕┫47;}yŚm~ä⌍‛G⌓‧ÆHpÒ⌐QµříS⌓D£µ!¥›õ¥ ⌝7ƓcàÉî@ëZA-⌔LâÆóÍŔDè⌠íóÅEÓJ⌌ ~Ðþ⌍[Ƅ!⌛{UŔÚ2ïu;Ý‟⌘„ëRb⌒ÅzL\s⁀fL¬Ô;ìA⌐¯ÕÉâ^”*bk:ôWÁ°¹ˍX&lt;Ï±Ý※jŔS:_⌂y;8´~¼k;Csþ$$ì(àþw­⌒å¶⌚|¢Ô⌘Q⌟OµÀ‥˝℣)⌓⌝0'«Ù⌚⌝9‣ó⌒KHÕL‚SE8`011"/>
    <w:docVar w:name="zzmp10LastTrailerInserted_1078" w:val="^`~#mp!@;⌓N#⌍┕┫47;}yŚm~ä⌍‛G⌓‧ÆHpÒ⌐QµříS⌓D£µ!¥›õ¥ ⌝7ƓcàÉî@ëZA-⌔LâÆóÍŔDè⌠íóÅEÓJ⌌ ~Ðþ⌍[Ƅ!⌛{UŔÚ2ïu;Ý‟⌘„ëRb⌒ÅzL\s⁀fL¬Ô;ìA⌐¯ÕÉâ^”*bk:ôWÁ°¹ˍX&lt;Ï±Ý※jŔS:_⌂y;8´~¼k;Csþ$$ì(àþw­⌒å¶⌚|¢Ô⌘Q⌟OµÀ‥˝℣)⌓⌝0'«Ù⌚⌝9‣ó⌒KHÕL‚SE8`011"/>
    <w:docVar w:name="zzmp10mSEGsValidated" w:val="1"/>
    <w:docVar w:name="zzmpCompatibilityMode" w:val="14"/>
  </w:docVars>
  <w:rsids>
    <w:rsidRoot w:val="004F6157"/>
    <w:rsid w:val="00061205"/>
    <w:rsid w:val="00063645"/>
    <w:rsid w:val="00065AEC"/>
    <w:rsid w:val="0008578D"/>
    <w:rsid w:val="000D45BE"/>
    <w:rsid w:val="001F0510"/>
    <w:rsid w:val="002727EE"/>
    <w:rsid w:val="00286DA2"/>
    <w:rsid w:val="002D0346"/>
    <w:rsid w:val="00300989"/>
    <w:rsid w:val="00311CF3"/>
    <w:rsid w:val="003326C0"/>
    <w:rsid w:val="00361A46"/>
    <w:rsid w:val="003B3C4D"/>
    <w:rsid w:val="00402E99"/>
    <w:rsid w:val="0040693E"/>
    <w:rsid w:val="004C0E2E"/>
    <w:rsid w:val="004D6F99"/>
    <w:rsid w:val="004F0608"/>
    <w:rsid w:val="004F6157"/>
    <w:rsid w:val="00513E72"/>
    <w:rsid w:val="005E5B66"/>
    <w:rsid w:val="005E5B86"/>
    <w:rsid w:val="005F1C54"/>
    <w:rsid w:val="006071FF"/>
    <w:rsid w:val="00614CD7"/>
    <w:rsid w:val="0062562D"/>
    <w:rsid w:val="006554B4"/>
    <w:rsid w:val="00686A60"/>
    <w:rsid w:val="006D3F48"/>
    <w:rsid w:val="006E5E1C"/>
    <w:rsid w:val="006F2F6A"/>
    <w:rsid w:val="006F441A"/>
    <w:rsid w:val="00701195"/>
    <w:rsid w:val="00707BCE"/>
    <w:rsid w:val="00757CFE"/>
    <w:rsid w:val="007606BA"/>
    <w:rsid w:val="007A0524"/>
    <w:rsid w:val="007E74FB"/>
    <w:rsid w:val="0081208C"/>
    <w:rsid w:val="00895F93"/>
    <w:rsid w:val="008D46E0"/>
    <w:rsid w:val="00902462"/>
    <w:rsid w:val="009306D0"/>
    <w:rsid w:val="00936704"/>
    <w:rsid w:val="00954166"/>
    <w:rsid w:val="00990423"/>
    <w:rsid w:val="009E33BB"/>
    <w:rsid w:val="00A24FCF"/>
    <w:rsid w:val="00A40E25"/>
    <w:rsid w:val="00A54D35"/>
    <w:rsid w:val="00AB17CF"/>
    <w:rsid w:val="00B00265"/>
    <w:rsid w:val="00B06E7B"/>
    <w:rsid w:val="00B732B1"/>
    <w:rsid w:val="00B768BB"/>
    <w:rsid w:val="00C2706D"/>
    <w:rsid w:val="00CA318D"/>
    <w:rsid w:val="00CB1C1E"/>
    <w:rsid w:val="00CD6AC4"/>
    <w:rsid w:val="00CF71F1"/>
    <w:rsid w:val="00D5161A"/>
    <w:rsid w:val="00E11A0A"/>
    <w:rsid w:val="00E56798"/>
    <w:rsid w:val="00E9084B"/>
    <w:rsid w:val="00EC50C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B74A65"/>
  <w15:docId w15:val="{F23A6AB4-5B27-4BE7-A29E-F2943A59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7"/>
    <w:rsid w:val="007E7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qFormat/>
    <w:rsid w:val="00707BCE"/>
    <w:rPr>
      <w:rFonts w:eastAsia="Times New Roman"/>
    </w:rPr>
  </w:style>
  <w:style w:type="paragraph" w:customStyle="1" w:styleId="O-BodyTextDS">
    <w:name w:val="O-Body Text (DS)"/>
    <w:aliases w:val="2Body,s28"/>
    <w:basedOn w:val="Normal"/>
    <w:uiPriority w:val="4"/>
    <w:qFormat/>
    <w:rsid w:val="00707BCE"/>
    <w:pPr>
      <w:spacing w:after="0" w:line="480" w:lineRule="auto"/>
    </w:pPr>
    <w:rPr>
      <w:rFonts w:eastAsia="Times New Roman"/>
    </w:rPr>
  </w:style>
  <w:style w:type="paragraph" w:customStyle="1" w:styleId="O-BodyTextJ">
    <w:name w:val="O-Body Text (J)"/>
    <w:aliases w:val="3Body,s13"/>
    <w:basedOn w:val="Normal"/>
    <w:uiPriority w:val="7"/>
    <w:qFormat/>
    <w:rsid w:val="00707BCE"/>
    <w:pPr>
      <w:jc w:val="both"/>
    </w:pPr>
    <w:rPr>
      <w:rFonts w:eastAsia="Times New Roman"/>
    </w:rPr>
  </w:style>
  <w:style w:type="paragraph" w:customStyle="1" w:styleId="O-BodyText5">
    <w:name w:val="O-Body Text .5&quot;"/>
    <w:aliases w:val="1Half,s2"/>
    <w:uiPriority w:val="1"/>
    <w:qFormat/>
    <w:rsid w:val="00707BCE"/>
    <w:pPr>
      <w:ind w:firstLine="720"/>
    </w:pPr>
    <w:rPr>
      <w:rFonts w:eastAsia="Times New Roman"/>
    </w:rPr>
  </w:style>
  <w:style w:type="paragraph" w:customStyle="1" w:styleId="O-BodyText5DS">
    <w:name w:val="O-Body Text .5” (DS)"/>
    <w:aliases w:val="2Half,s29"/>
    <w:basedOn w:val="Normal"/>
    <w:uiPriority w:val="5"/>
    <w:qFormat/>
    <w:rsid w:val="00707BCE"/>
    <w:pPr>
      <w:spacing w:after="0" w:line="480" w:lineRule="auto"/>
      <w:ind w:firstLine="720"/>
    </w:pPr>
    <w:rPr>
      <w:rFonts w:eastAsia="Times New Roman"/>
    </w:rPr>
  </w:style>
  <w:style w:type="paragraph" w:customStyle="1" w:styleId="O-BodyText5J">
    <w:name w:val="O-Body Text .5” (J)"/>
    <w:aliases w:val="3Half,s14"/>
    <w:basedOn w:val="Normal"/>
    <w:uiPriority w:val="7"/>
    <w:qFormat/>
    <w:rsid w:val="00707BCE"/>
    <w:pPr>
      <w:ind w:firstLine="720"/>
      <w:jc w:val="both"/>
    </w:pPr>
    <w:rPr>
      <w:rFonts w:eastAsia="Times New Roman"/>
    </w:rPr>
  </w:style>
  <w:style w:type="paragraph" w:customStyle="1" w:styleId="O-BodyText1">
    <w:name w:val="O-Body Text 1&quot;"/>
    <w:aliases w:val="1Full,s3,S3"/>
    <w:basedOn w:val="Normal"/>
    <w:qFormat/>
    <w:rsid w:val="00707BCE"/>
    <w:pPr>
      <w:ind w:firstLine="1440"/>
    </w:pPr>
    <w:rPr>
      <w:rFonts w:eastAsia="Times New Roman"/>
    </w:rPr>
  </w:style>
  <w:style w:type="paragraph" w:customStyle="1" w:styleId="O-BodyText1DS">
    <w:name w:val="O-Body Text 1” (DS)"/>
    <w:aliases w:val="2Full,s30"/>
    <w:basedOn w:val="Normal"/>
    <w:uiPriority w:val="6"/>
    <w:qFormat/>
    <w:rsid w:val="00707BCE"/>
    <w:pPr>
      <w:spacing w:after="0" w:line="480" w:lineRule="auto"/>
      <w:ind w:firstLine="1440"/>
    </w:pPr>
    <w:rPr>
      <w:rFonts w:eastAsia="Times New Roman"/>
    </w:rPr>
  </w:style>
  <w:style w:type="paragraph" w:customStyle="1" w:styleId="O-BodyText1J">
    <w:name w:val="O-Body Text 1” (J)"/>
    <w:aliases w:val="3Full,s15"/>
    <w:basedOn w:val="Normal"/>
    <w:uiPriority w:val="7"/>
    <w:qFormat/>
    <w:rsid w:val="00707BCE"/>
    <w:pPr>
      <w:ind w:firstLine="1440"/>
      <w:jc w:val="both"/>
    </w:pPr>
    <w:rPr>
      <w:rFonts w:eastAsia="Times New Roman"/>
    </w:rPr>
  </w:style>
  <w:style w:type="paragraph" w:customStyle="1" w:styleId="O-Bullet">
    <w:name w:val="O-Bullet ()"/>
    <w:aliases w:val="1Bullet,s4"/>
    <w:uiPriority w:val="32"/>
    <w:qFormat/>
    <w:rsid w:val="00707BCE"/>
    <w:pPr>
      <w:numPr>
        <w:numId w:val="1"/>
      </w:numPr>
    </w:pPr>
    <w:rPr>
      <w:rFonts w:eastAsia="Times New Roman"/>
    </w:rPr>
  </w:style>
  <w:style w:type="paragraph" w:customStyle="1" w:styleId="O-Bullet5">
    <w:name w:val="O-Bullet .5&quot;"/>
    <w:aliases w:val="2Bullet,s26"/>
    <w:uiPriority w:val="32"/>
    <w:rsid w:val="00707BCE"/>
    <w:pPr>
      <w:numPr>
        <w:numId w:val="2"/>
      </w:numPr>
    </w:pPr>
    <w:rPr>
      <w:rFonts w:eastAsia="Times New Roman"/>
    </w:rPr>
  </w:style>
  <w:style w:type="paragraph" w:customStyle="1" w:styleId="O-Bullet1">
    <w:name w:val="O-Bullet 1&quot;"/>
    <w:aliases w:val="3Bullet,s27"/>
    <w:uiPriority w:val="32"/>
    <w:rsid w:val="00707BCE"/>
    <w:pPr>
      <w:numPr>
        <w:numId w:val="3"/>
      </w:numPr>
    </w:pPr>
    <w:rPr>
      <w:rFonts w:eastAsia="Times New Roman"/>
    </w:rPr>
  </w:style>
  <w:style w:type="paragraph" w:customStyle="1" w:styleId="O-Indent5">
    <w:name w:val="O-Indent .5&quot;"/>
    <w:aliases w:val="Half Indent,s5"/>
    <w:basedOn w:val="Normal"/>
    <w:uiPriority w:val="10"/>
    <w:qFormat/>
    <w:rsid w:val="00707BCE"/>
    <w:pPr>
      <w:ind w:left="720"/>
    </w:pPr>
    <w:rPr>
      <w:rFonts w:eastAsia="Times New Roman"/>
    </w:rPr>
  </w:style>
  <w:style w:type="paragraph" w:customStyle="1" w:styleId="O-Indent1">
    <w:name w:val="O-Indent 1&quot;"/>
    <w:aliases w:val="Full Indent,s6"/>
    <w:basedOn w:val="Normal"/>
    <w:uiPriority w:val="11"/>
    <w:qFormat/>
    <w:rsid w:val="00707BCE"/>
    <w:pPr>
      <w:ind w:left="1440"/>
    </w:pPr>
    <w:rPr>
      <w:rFonts w:eastAsia="Times New Roman"/>
    </w:rPr>
  </w:style>
  <w:style w:type="paragraph" w:customStyle="1" w:styleId="O-Quote">
    <w:name w:val="O-Quote ()"/>
    <w:aliases w:val="1Quote,s7"/>
    <w:basedOn w:val="Normal"/>
    <w:uiPriority w:val="33"/>
    <w:rsid w:val="00707BCE"/>
    <w:pPr>
      <w:ind w:left="1440" w:right="1440"/>
    </w:pPr>
    <w:rPr>
      <w:rFonts w:eastAsia="Times New Roman"/>
    </w:rPr>
  </w:style>
  <w:style w:type="paragraph" w:customStyle="1" w:styleId="O-QuoteDS">
    <w:name w:val="O-Quote (DS)"/>
    <w:aliases w:val="2Quote,s17"/>
    <w:basedOn w:val="Normal"/>
    <w:uiPriority w:val="33"/>
    <w:rsid w:val="00707BCE"/>
    <w:pPr>
      <w:spacing w:after="0" w:line="480" w:lineRule="auto"/>
      <w:ind w:left="1440" w:right="1440"/>
    </w:pPr>
    <w:rPr>
      <w:rFonts w:eastAsia="Times New Roman"/>
    </w:rPr>
  </w:style>
  <w:style w:type="paragraph" w:customStyle="1" w:styleId="O-QuoteJ">
    <w:name w:val="O-Quote (J)"/>
    <w:aliases w:val="3Quote,s16"/>
    <w:basedOn w:val="Normal"/>
    <w:uiPriority w:val="33"/>
    <w:rsid w:val="00707BCE"/>
    <w:pPr>
      <w:ind w:left="1440" w:right="1440"/>
      <w:jc w:val="both"/>
    </w:pPr>
    <w:rPr>
      <w:rFonts w:eastAsia="Times New Roman"/>
    </w:rPr>
  </w:style>
  <w:style w:type="paragraph" w:customStyle="1" w:styleId="O-SignatureLA">
    <w:name w:val="O-Signature (LA)"/>
    <w:aliases w:val="Sig (LA),s18"/>
    <w:basedOn w:val="Normal"/>
    <w:uiPriority w:val="45"/>
    <w:rsid w:val="00707BCE"/>
    <w:pPr>
      <w:keepLines/>
      <w:tabs>
        <w:tab w:val="right" w:pos="2880"/>
      </w:tabs>
      <w:spacing w:before="720"/>
      <w:ind w:left="547" w:hanging="547"/>
    </w:pPr>
    <w:rPr>
      <w:rFonts w:eastAsia="Times New Roman"/>
    </w:rPr>
  </w:style>
  <w:style w:type="paragraph" w:customStyle="1" w:styleId="O-Signature">
    <w:name w:val="O-Signature"/>
    <w:aliases w:val="Sigs,s12"/>
    <w:basedOn w:val="Normal"/>
    <w:next w:val="Normal"/>
    <w:uiPriority w:val="45"/>
    <w:rsid w:val="00707BCE"/>
    <w:pPr>
      <w:keepNext/>
      <w:keepLines/>
      <w:ind w:left="4320"/>
    </w:pPr>
    <w:rPr>
      <w:rFonts w:eastAsia="Times New Roman"/>
    </w:rPr>
  </w:style>
  <w:style w:type="paragraph" w:customStyle="1" w:styleId="O-Title3">
    <w:name w:val="O-Title 3"/>
    <w:aliases w:val="3Title,s22"/>
    <w:next w:val="O-BodyText"/>
    <w:uiPriority w:val="37"/>
    <w:qFormat/>
    <w:rsid w:val="00707BCE"/>
    <w:pPr>
      <w:keepNext/>
      <w:keepLines/>
      <w:jc w:val="center"/>
    </w:pPr>
    <w:rPr>
      <w:rFonts w:eastAsia="Times New Roman"/>
      <w:b/>
      <w:bCs/>
      <w:u w:val="single"/>
    </w:rPr>
  </w:style>
  <w:style w:type="paragraph" w:customStyle="1" w:styleId="O-TITLE">
    <w:name w:val="O-TITLE"/>
    <w:aliases w:val="1Title,s10"/>
    <w:basedOn w:val="Normal"/>
    <w:next w:val="O-BodyText"/>
    <w:uiPriority w:val="35"/>
    <w:qFormat/>
    <w:rsid w:val="00707BCE"/>
    <w:pPr>
      <w:keepNext/>
      <w:keepLines/>
      <w:jc w:val="center"/>
    </w:pPr>
    <w:rPr>
      <w:rFonts w:eastAsia="Times New Roman"/>
      <w:b/>
      <w:caps/>
    </w:rPr>
  </w:style>
  <w:style w:type="paragraph" w:customStyle="1" w:styleId="O-Title6">
    <w:name w:val="O-Title 6"/>
    <w:aliases w:val="6Title,s11"/>
    <w:next w:val="O-BodyText"/>
    <w:uiPriority w:val="40"/>
    <w:qFormat/>
    <w:rsid w:val="00707BCE"/>
    <w:pPr>
      <w:keepNext/>
      <w:keepLines/>
    </w:pPr>
    <w:rPr>
      <w:rFonts w:eastAsia="Times New Roman"/>
      <w:b/>
    </w:rPr>
  </w:style>
  <w:style w:type="paragraph" w:customStyle="1" w:styleId="O-Title7">
    <w:name w:val="O-Title 7"/>
    <w:aliases w:val="7Title,s19"/>
    <w:next w:val="O-BodyText"/>
    <w:uiPriority w:val="41"/>
    <w:qFormat/>
    <w:rsid w:val="00707BCE"/>
    <w:pPr>
      <w:keepNext/>
      <w:keepLines/>
    </w:pPr>
    <w:rPr>
      <w:rFonts w:eastAsia="Times New Roman"/>
      <w:b/>
      <w:bCs/>
      <w:u w:val="single"/>
    </w:rPr>
  </w:style>
  <w:style w:type="paragraph" w:customStyle="1" w:styleId="O-Title5">
    <w:name w:val="O-Title 5"/>
    <w:aliases w:val="5Title,s8"/>
    <w:basedOn w:val="Normal"/>
    <w:next w:val="O-BodyText"/>
    <w:uiPriority w:val="39"/>
    <w:qFormat/>
    <w:rsid w:val="00707BCE"/>
    <w:pPr>
      <w:keepNext/>
      <w:keepLines/>
      <w:jc w:val="center"/>
    </w:pPr>
    <w:rPr>
      <w:rFonts w:eastAsia="Times New Roman"/>
      <w:b/>
      <w:bCs/>
      <w:iCs/>
      <w:caps/>
      <w:u w:val="single"/>
    </w:rPr>
  </w:style>
  <w:style w:type="paragraph" w:customStyle="1" w:styleId="O-Title2">
    <w:name w:val="O-Title 2"/>
    <w:aliases w:val="2Title,s20"/>
    <w:basedOn w:val="Normal"/>
    <w:next w:val="O-BodyText"/>
    <w:uiPriority w:val="36"/>
    <w:qFormat/>
    <w:rsid w:val="00707BCE"/>
    <w:pPr>
      <w:keepNext/>
      <w:keepLines/>
      <w:jc w:val="center"/>
    </w:pPr>
    <w:rPr>
      <w:rFonts w:eastAsia="Times New Roman"/>
      <w:b/>
      <w:bCs/>
    </w:rPr>
  </w:style>
  <w:style w:type="paragraph" w:styleId="NoSpacing">
    <w:name w:val="No Spacing"/>
    <w:uiPriority w:val="8"/>
    <w:rsid w:val="00707BCE"/>
    <w:pPr>
      <w:spacing w:after="0"/>
    </w:pPr>
  </w:style>
  <w:style w:type="paragraph" w:styleId="FootnoteText">
    <w:name w:val="footnote text"/>
    <w:basedOn w:val="Normal"/>
    <w:link w:val="FootnoteTextChar"/>
    <w:uiPriority w:val="94"/>
    <w:semiHidden/>
    <w:rsid w:val="00707BCE"/>
    <w:rPr>
      <w:sz w:val="20"/>
      <w:szCs w:val="20"/>
    </w:rPr>
  </w:style>
  <w:style w:type="character" w:customStyle="1" w:styleId="FootnoteTextChar">
    <w:name w:val="Footnote Text Char"/>
    <w:basedOn w:val="DefaultParagraphFont"/>
    <w:link w:val="FootnoteText"/>
    <w:uiPriority w:val="94"/>
    <w:semiHidden/>
    <w:rsid w:val="00707BCE"/>
    <w:rPr>
      <w:sz w:val="20"/>
      <w:szCs w:val="20"/>
      <w:lang w:val="en-US"/>
    </w:rPr>
  </w:style>
  <w:style w:type="character" w:styleId="FootnoteReference">
    <w:name w:val="footnote reference"/>
    <w:basedOn w:val="DefaultParagraphFont"/>
    <w:uiPriority w:val="99"/>
    <w:semiHidden/>
    <w:unhideWhenUsed/>
    <w:rsid w:val="00707BCE"/>
    <w:rPr>
      <w:vertAlign w:val="superscript"/>
      <w:lang w:val="en-US"/>
    </w:rPr>
  </w:style>
  <w:style w:type="paragraph" w:styleId="BalloonText">
    <w:name w:val="Balloon Text"/>
    <w:basedOn w:val="Normal"/>
    <w:link w:val="BalloonTextChar"/>
    <w:uiPriority w:val="99"/>
    <w:semiHidden/>
    <w:unhideWhenUsed/>
    <w:rsid w:val="00707BCE"/>
    <w:rPr>
      <w:rFonts w:ascii="Tahoma" w:hAnsi="Tahoma" w:cs="Tahoma"/>
      <w:sz w:val="16"/>
      <w:szCs w:val="16"/>
    </w:rPr>
  </w:style>
  <w:style w:type="character" w:customStyle="1" w:styleId="BalloonTextChar">
    <w:name w:val="Balloon Text Char"/>
    <w:basedOn w:val="DefaultParagraphFont"/>
    <w:link w:val="BalloonText"/>
    <w:uiPriority w:val="99"/>
    <w:semiHidden/>
    <w:rsid w:val="00707BCE"/>
    <w:rPr>
      <w:rFonts w:ascii="Tahoma" w:hAnsi="Tahoma" w:cs="Tahoma"/>
      <w:sz w:val="16"/>
      <w:szCs w:val="16"/>
      <w:lang w:val="en-US"/>
    </w:rPr>
  </w:style>
  <w:style w:type="paragraph" w:customStyle="1" w:styleId="Parties">
    <w:name w:val="Parties"/>
    <w:uiPriority w:val="34"/>
    <w:rsid w:val="00707BCE"/>
    <w:pPr>
      <w:numPr>
        <w:numId w:val="4"/>
      </w:numPr>
      <w:spacing w:line="300" w:lineRule="exact"/>
      <w:jc w:val="both"/>
    </w:pPr>
    <w:rPr>
      <w:rFonts w:eastAsia="Times New Roman"/>
      <w:szCs w:val="21"/>
      <w:lang w:val="en-GB"/>
    </w:rPr>
  </w:style>
  <w:style w:type="paragraph" w:customStyle="1" w:styleId="Background">
    <w:name w:val="Background"/>
    <w:uiPriority w:val="34"/>
    <w:rsid w:val="00707BCE"/>
    <w:pPr>
      <w:numPr>
        <w:numId w:val="5"/>
      </w:numPr>
      <w:spacing w:line="300" w:lineRule="exact"/>
      <w:jc w:val="both"/>
    </w:pPr>
    <w:rPr>
      <w:rFonts w:eastAsia="Times New Roman"/>
      <w:szCs w:val="21"/>
      <w:lang w:val="en-GB"/>
    </w:rPr>
  </w:style>
  <w:style w:type="paragraph" w:customStyle="1" w:styleId="OPDFooter">
    <w:name w:val="O PD Footer"/>
    <w:uiPriority w:val="46"/>
    <w:rsid w:val="00707BCE"/>
    <w:pPr>
      <w:tabs>
        <w:tab w:val="right" w:pos="7200"/>
      </w:tabs>
      <w:spacing w:after="0"/>
      <w:jc w:val="right"/>
    </w:pPr>
    <w:rPr>
      <w:rFonts w:ascii="Arial Narrow" w:eastAsia="Times New Roman" w:hAnsi="Arial Narrow"/>
      <w:sz w:val="18"/>
      <w:szCs w:val="20"/>
    </w:rPr>
  </w:style>
  <w:style w:type="paragraph" w:customStyle="1" w:styleId="OResumeArticlesNoBullets">
    <w:name w:val="O Resume Articles No Bullets"/>
    <w:basedOn w:val="Normal"/>
    <w:uiPriority w:val="46"/>
    <w:rsid w:val="00707BCE"/>
    <w:pPr>
      <w:spacing w:after="0"/>
    </w:pPr>
    <w:rPr>
      <w:rFonts w:ascii="Garamond" w:eastAsia="Times" w:hAnsi="Garamond"/>
      <w:szCs w:val="20"/>
    </w:rPr>
  </w:style>
  <w:style w:type="paragraph" w:customStyle="1" w:styleId="OResumeArticlesBullets">
    <w:name w:val="O Resume Articles Bullets"/>
    <w:basedOn w:val="OResumeArticlesNoBullets"/>
    <w:uiPriority w:val="46"/>
    <w:rsid w:val="00707BCE"/>
    <w:pPr>
      <w:numPr>
        <w:numId w:val="6"/>
      </w:numPr>
      <w:spacing w:after="60"/>
    </w:pPr>
  </w:style>
  <w:style w:type="paragraph" w:customStyle="1" w:styleId="OResumeArticlesHeading">
    <w:name w:val="O Resume Articles Heading"/>
    <w:basedOn w:val="OResumeArticlesNoBullets"/>
    <w:uiPriority w:val="46"/>
    <w:rsid w:val="00707BCE"/>
    <w:pPr>
      <w:spacing w:before="240"/>
    </w:pPr>
    <w:rPr>
      <w:b/>
    </w:rPr>
  </w:style>
  <w:style w:type="paragraph" w:customStyle="1" w:styleId="OResumeArticlesLeadin">
    <w:name w:val="O Resume Articles Leadin"/>
    <w:next w:val="Normal"/>
    <w:uiPriority w:val="46"/>
    <w:rsid w:val="00707BCE"/>
    <w:pPr>
      <w:keepNext/>
      <w:tabs>
        <w:tab w:val="left" w:pos="180"/>
        <w:tab w:val="left" w:pos="2520"/>
        <w:tab w:val="left" w:pos="2779"/>
        <w:tab w:val="left" w:pos="9979"/>
      </w:tabs>
      <w:spacing w:after="60"/>
      <w:ind w:firstLine="180"/>
    </w:pPr>
    <w:rPr>
      <w:rFonts w:ascii="Garamond" w:eastAsia="Times" w:hAnsi="Garamond"/>
      <w:noProof/>
      <w:sz w:val="22"/>
      <w:szCs w:val="20"/>
    </w:rPr>
  </w:style>
  <w:style w:type="paragraph" w:customStyle="1" w:styleId="OResumeAttorneyID">
    <w:name w:val="O Resume Attorney ID"/>
    <w:basedOn w:val="Normal"/>
    <w:uiPriority w:val="46"/>
    <w:rsid w:val="00707BCE"/>
    <w:pPr>
      <w:spacing w:after="0"/>
    </w:pPr>
    <w:rPr>
      <w:rFonts w:ascii="Arial" w:eastAsia="Times New Roman" w:hAnsi="Arial"/>
      <w:sz w:val="16"/>
    </w:rPr>
  </w:style>
  <w:style w:type="paragraph" w:customStyle="1" w:styleId="OResumeBodyText">
    <w:name w:val="O Resume Body Text"/>
    <w:uiPriority w:val="46"/>
    <w:rsid w:val="00707BCE"/>
    <w:pPr>
      <w:spacing w:before="240" w:after="0"/>
    </w:pPr>
    <w:rPr>
      <w:rFonts w:ascii="Garamond" w:eastAsia="Times" w:hAnsi="Garamond"/>
      <w:szCs w:val="20"/>
    </w:rPr>
  </w:style>
  <w:style w:type="paragraph" w:customStyle="1" w:styleId="OResumeBulletQualification">
    <w:name w:val="O Resume Bullet Qualification"/>
    <w:uiPriority w:val="46"/>
    <w:rsid w:val="00707BCE"/>
    <w:pPr>
      <w:tabs>
        <w:tab w:val="num" w:pos="360"/>
      </w:tabs>
      <w:spacing w:after="120"/>
      <w:ind w:left="180" w:hanging="180"/>
    </w:pPr>
    <w:rPr>
      <w:rFonts w:ascii="Garamond" w:eastAsia="Times" w:hAnsi="Garamond"/>
      <w:noProof/>
      <w:sz w:val="22"/>
      <w:szCs w:val="20"/>
    </w:rPr>
  </w:style>
  <w:style w:type="character" w:customStyle="1" w:styleId="OResumeClientCaseProjectName">
    <w:name w:val="O Resume Client/Case/Project Name"/>
    <w:uiPriority w:val="46"/>
    <w:rsid w:val="00707BCE"/>
    <w:rPr>
      <w:rFonts w:ascii="Arial" w:hAnsi="Arial"/>
      <w:b/>
      <w:sz w:val="20"/>
    </w:rPr>
  </w:style>
  <w:style w:type="paragraph" w:customStyle="1" w:styleId="OResumeContactInformation">
    <w:name w:val="O Resume Contact Information"/>
    <w:next w:val="Normal"/>
    <w:uiPriority w:val="46"/>
    <w:rsid w:val="00707BCE"/>
    <w:pPr>
      <w:spacing w:after="0"/>
      <w:ind w:left="187"/>
    </w:pPr>
    <w:rPr>
      <w:rFonts w:ascii="Arial" w:eastAsia="Times" w:hAnsi="Arial"/>
      <w:noProof/>
      <w:sz w:val="16"/>
      <w:szCs w:val="20"/>
    </w:rPr>
  </w:style>
  <w:style w:type="paragraph" w:customStyle="1" w:styleId="OResumeEmail">
    <w:name w:val="O Resume Email"/>
    <w:uiPriority w:val="46"/>
    <w:rsid w:val="00707BCE"/>
    <w:pPr>
      <w:spacing w:after="360"/>
    </w:pPr>
    <w:rPr>
      <w:rFonts w:ascii="Arial" w:eastAsia="Times" w:hAnsi="Arial"/>
      <w:i/>
      <w:iCs/>
      <w:sz w:val="16"/>
      <w:szCs w:val="20"/>
    </w:rPr>
  </w:style>
  <w:style w:type="paragraph" w:customStyle="1" w:styleId="OResumeFooter">
    <w:name w:val="O Resume Footer"/>
    <w:uiPriority w:val="46"/>
    <w:rsid w:val="00707BCE"/>
    <w:pPr>
      <w:spacing w:after="0" w:line="200" w:lineRule="exact"/>
      <w:jc w:val="right"/>
    </w:pPr>
    <w:rPr>
      <w:rFonts w:ascii="Arial Narrow" w:eastAsia="Times" w:hAnsi="Arial Narrow"/>
      <w:noProof/>
      <w:sz w:val="18"/>
      <w:szCs w:val="20"/>
    </w:rPr>
  </w:style>
  <w:style w:type="paragraph" w:customStyle="1" w:styleId="OResumeName">
    <w:name w:val="O Resume Name"/>
    <w:next w:val="OResumeContactInformation"/>
    <w:uiPriority w:val="46"/>
    <w:rsid w:val="00707BCE"/>
    <w:pPr>
      <w:spacing w:after="120"/>
    </w:pPr>
    <w:rPr>
      <w:rFonts w:ascii="Arial" w:eastAsia="Times" w:hAnsi="Arial"/>
      <w:b/>
      <w:noProof/>
      <w:sz w:val="32"/>
      <w:szCs w:val="20"/>
    </w:rPr>
  </w:style>
  <w:style w:type="paragraph" w:customStyle="1" w:styleId="OResumeSidebar">
    <w:name w:val="O Resume Sidebar"/>
    <w:uiPriority w:val="46"/>
    <w:rsid w:val="00707BCE"/>
    <w:pPr>
      <w:spacing w:after="120"/>
    </w:pPr>
    <w:rPr>
      <w:rFonts w:ascii="Arial" w:eastAsia="Times" w:hAnsi="Arial"/>
      <w:noProof/>
      <w:sz w:val="16"/>
      <w:szCs w:val="20"/>
    </w:rPr>
  </w:style>
  <w:style w:type="paragraph" w:customStyle="1" w:styleId="OResumeSidebarBullet">
    <w:name w:val="O Resume Sidebar Bullet"/>
    <w:basedOn w:val="Normal"/>
    <w:uiPriority w:val="46"/>
    <w:rsid w:val="00707BCE"/>
    <w:pPr>
      <w:numPr>
        <w:numId w:val="7"/>
      </w:numPr>
      <w:spacing w:after="0"/>
    </w:pPr>
    <w:rPr>
      <w:rFonts w:ascii="Arial" w:eastAsia="Times" w:hAnsi="Arial" w:cs="Arial"/>
      <w:sz w:val="16"/>
      <w:szCs w:val="20"/>
    </w:rPr>
  </w:style>
  <w:style w:type="paragraph" w:customStyle="1" w:styleId="OResumeSidebarHead">
    <w:name w:val="O Resume Sidebar Head"/>
    <w:basedOn w:val="Normal"/>
    <w:uiPriority w:val="46"/>
    <w:rsid w:val="00707BCE"/>
    <w:pPr>
      <w:spacing w:after="0"/>
    </w:pPr>
    <w:rPr>
      <w:rFonts w:ascii="Arial" w:eastAsia="Times" w:hAnsi="Arial" w:cs="Arial"/>
      <w:b/>
      <w:noProof/>
      <w:sz w:val="18"/>
      <w:szCs w:val="20"/>
    </w:rPr>
  </w:style>
  <w:style w:type="paragraph" w:customStyle="1" w:styleId="O-Title4">
    <w:name w:val="O-Title 4"/>
    <w:aliases w:val="4Title,s9"/>
    <w:basedOn w:val="Normal"/>
    <w:next w:val="O-BodyText"/>
    <w:uiPriority w:val="38"/>
    <w:rsid w:val="00707BCE"/>
    <w:rPr>
      <w:rFonts w:eastAsia="Times New Roman"/>
      <w:u w:val="single"/>
    </w:rPr>
  </w:style>
  <w:style w:type="paragraph" w:customStyle="1" w:styleId="O-Title8">
    <w:name w:val="O-Title 8"/>
    <w:aliases w:val="8Title,s23"/>
    <w:next w:val="O-BodyText"/>
    <w:uiPriority w:val="42"/>
    <w:rsid w:val="00707BCE"/>
    <w:rPr>
      <w:rFonts w:eastAsia="Times New Roman"/>
      <w:i/>
    </w:rPr>
  </w:style>
  <w:style w:type="paragraph" w:styleId="Header">
    <w:name w:val="header"/>
    <w:basedOn w:val="Normal"/>
    <w:link w:val="HeaderChar"/>
    <w:uiPriority w:val="99"/>
    <w:unhideWhenUsed/>
    <w:rsid w:val="00707BCE"/>
    <w:pPr>
      <w:tabs>
        <w:tab w:val="center" w:pos="4680"/>
        <w:tab w:val="right" w:pos="9360"/>
      </w:tabs>
      <w:spacing w:after="0"/>
    </w:pPr>
  </w:style>
  <w:style w:type="character" w:customStyle="1" w:styleId="HeaderChar">
    <w:name w:val="Header Char"/>
    <w:basedOn w:val="DefaultParagraphFont"/>
    <w:link w:val="Header"/>
    <w:uiPriority w:val="99"/>
    <w:rsid w:val="00707BCE"/>
  </w:style>
  <w:style w:type="paragraph" w:styleId="Footer">
    <w:name w:val="footer"/>
    <w:basedOn w:val="Normal"/>
    <w:link w:val="FooterChar"/>
    <w:uiPriority w:val="99"/>
    <w:unhideWhenUsed/>
    <w:rsid w:val="00707BCE"/>
    <w:pPr>
      <w:tabs>
        <w:tab w:val="center" w:pos="4680"/>
        <w:tab w:val="right" w:pos="9360"/>
      </w:tabs>
      <w:spacing w:after="0"/>
    </w:pPr>
  </w:style>
  <w:style w:type="character" w:customStyle="1" w:styleId="FooterChar">
    <w:name w:val="Footer Char"/>
    <w:basedOn w:val="DefaultParagraphFont"/>
    <w:link w:val="Footer"/>
    <w:uiPriority w:val="99"/>
    <w:rsid w:val="00707BCE"/>
  </w:style>
  <w:style w:type="paragraph" w:customStyle="1" w:styleId="O-Center">
    <w:name w:val="O-Center"/>
    <w:aliases w:val="Center,s21,O-Title (C) (Lower Caps)"/>
    <w:basedOn w:val="Normal"/>
    <w:next w:val="O-BodyText"/>
    <w:rsid w:val="00707BCE"/>
    <w:pPr>
      <w:keepNext/>
      <w:keepLines/>
      <w:jc w:val="center"/>
    </w:pPr>
  </w:style>
  <w:style w:type="paragraph" w:customStyle="1" w:styleId="O-TITLE9">
    <w:name w:val="O-TITLE 9"/>
    <w:aliases w:val="9TITLE,s31,O-Single (no space after)"/>
    <w:basedOn w:val="Normal"/>
    <w:next w:val="O-BodyText"/>
    <w:qFormat/>
    <w:rsid w:val="00954166"/>
    <w:pPr>
      <w:keepNext/>
      <w:keepLines/>
    </w:pPr>
    <w:rPr>
      <w:rFonts w:eastAsia="Times New Roman"/>
      <w:b/>
      <w:caps/>
    </w:rPr>
  </w:style>
  <w:style w:type="paragraph" w:customStyle="1" w:styleId="OTITLELEFTINDENT1RHTINDENT1">
    <w:name w:val="O TITLE LEFT INDENT 1  RHT INDENT 1"/>
    <w:basedOn w:val="Normal"/>
    <w:rsid w:val="004F6157"/>
    <w:pPr>
      <w:ind w:left="1440" w:right="1584"/>
    </w:pPr>
    <w:rPr>
      <w:rFonts w:eastAsia="Times New Roman"/>
      <w:bCs/>
      <w:color w:val="0C0C0C"/>
    </w:rPr>
  </w:style>
  <w:style w:type="paragraph" w:customStyle="1" w:styleId="TabbedL1">
    <w:name w:val="Tabbed_L1"/>
    <w:basedOn w:val="Normal"/>
    <w:next w:val="Normal"/>
    <w:rsid w:val="004F6157"/>
    <w:pPr>
      <w:numPr>
        <w:numId w:val="8"/>
      </w:numPr>
      <w:outlineLvl w:val="0"/>
    </w:pPr>
    <w:rPr>
      <w:rFonts w:eastAsia="Times New Roman"/>
      <w:szCs w:val="20"/>
    </w:rPr>
  </w:style>
  <w:style w:type="paragraph" w:customStyle="1" w:styleId="TabbedL2">
    <w:name w:val="Tabbed_L2"/>
    <w:basedOn w:val="TabbedL1"/>
    <w:next w:val="Normal"/>
    <w:rsid w:val="004F6157"/>
    <w:pPr>
      <w:numPr>
        <w:ilvl w:val="1"/>
      </w:numPr>
      <w:outlineLvl w:val="1"/>
    </w:pPr>
  </w:style>
  <w:style w:type="paragraph" w:customStyle="1" w:styleId="TabbedL3">
    <w:name w:val="Tabbed_L3"/>
    <w:basedOn w:val="TabbedL2"/>
    <w:next w:val="Normal"/>
    <w:rsid w:val="004F6157"/>
    <w:pPr>
      <w:numPr>
        <w:ilvl w:val="2"/>
      </w:numPr>
      <w:outlineLvl w:val="2"/>
    </w:pPr>
  </w:style>
  <w:style w:type="paragraph" w:customStyle="1" w:styleId="TabbedL4">
    <w:name w:val="Tabbed_L4"/>
    <w:basedOn w:val="TabbedL3"/>
    <w:next w:val="Normal"/>
    <w:rsid w:val="004F6157"/>
    <w:pPr>
      <w:numPr>
        <w:ilvl w:val="3"/>
      </w:numPr>
      <w:outlineLvl w:val="3"/>
    </w:pPr>
  </w:style>
  <w:style w:type="paragraph" w:customStyle="1" w:styleId="TabbedL5">
    <w:name w:val="Tabbed_L5"/>
    <w:basedOn w:val="TabbedL4"/>
    <w:next w:val="Normal"/>
    <w:rsid w:val="004F6157"/>
    <w:pPr>
      <w:numPr>
        <w:ilvl w:val="4"/>
      </w:numPr>
      <w:outlineLvl w:val="4"/>
    </w:pPr>
  </w:style>
  <w:style w:type="paragraph" w:customStyle="1" w:styleId="TabbedL6">
    <w:name w:val="Tabbed_L6"/>
    <w:basedOn w:val="TabbedL5"/>
    <w:next w:val="Normal"/>
    <w:rsid w:val="004F6157"/>
    <w:pPr>
      <w:numPr>
        <w:ilvl w:val="5"/>
      </w:numPr>
      <w:outlineLvl w:val="5"/>
    </w:pPr>
  </w:style>
  <w:style w:type="paragraph" w:customStyle="1" w:styleId="TabbedL7">
    <w:name w:val="Tabbed_L7"/>
    <w:basedOn w:val="TabbedL6"/>
    <w:next w:val="Normal"/>
    <w:rsid w:val="004F6157"/>
    <w:pPr>
      <w:numPr>
        <w:ilvl w:val="6"/>
      </w:numPr>
      <w:outlineLvl w:val="6"/>
    </w:pPr>
  </w:style>
  <w:style w:type="paragraph" w:customStyle="1" w:styleId="TabbedL8">
    <w:name w:val="Tabbed_L8"/>
    <w:basedOn w:val="TabbedL7"/>
    <w:next w:val="Normal"/>
    <w:rsid w:val="004F6157"/>
    <w:pPr>
      <w:numPr>
        <w:ilvl w:val="7"/>
      </w:numPr>
      <w:outlineLvl w:val="7"/>
    </w:pPr>
  </w:style>
  <w:style w:type="paragraph" w:customStyle="1" w:styleId="TabbedL9">
    <w:name w:val="Tabbed_L9"/>
    <w:basedOn w:val="TabbedL8"/>
    <w:next w:val="Normal"/>
    <w:rsid w:val="004F6157"/>
    <w:pPr>
      <w:numPr>
        <w:ilvl w:val="8"/>
      </w:numPr>
      <w:outlineLvl w:val="8"/>
    </w:pPr>
  </w:style>
  <w:style w:type="paragraph" w:customStyle="1" w:styleId="MacPacTrailer">
    <w:name w:val="MacPac Trailer"/>
    <w:rsid w:val="00B768BB"/>
    <w:pPr>
      <w:widowControl w:val="0"/>
      <w:spacing w:after="0" w:line="200" w:lineRule="exact"/>
    </w:pPr>
    <w:rPr>
      <w:rFonts w:eastAsia="Times New Roman"/>
      <w:sz w:val="16"/>
      <w:szCs w:val="22"/>
    </w:rPr>
  </w:style>
  <w:style w:type="character" w:styleId="PlaceholderText">
    <w:name w:val="Placeholder Text"/>
    <w:basedOn w:val="DefaultParagraphFont"/>
    <w:uiPriority w:val="99"/>
    <w:semiHidden/>
    <w:rsid w:val="004F61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rrick Colors">
      <a:dk1>
        <a:sysClr val="windowText" lastClr="000000"/>
      </a:dk1>
      <a:lt1>
        <a:sysClr val="window" lastClr="FFFFFF"/>
      </a:lt1>
      <a:dk2>
        <a:srgbClr val="1F497D"/>
      </a:dk2>
      <a:lt2>
        <a:srgbClr val="EEECE1"/>
      </a:lt2>
      <a:accent1>
        <a:srgbClr val="009966"/>
      </a:accent1>
      <a:accent2>
        <a:srgbClr val="6E6E6E"/>
      </a:accent2>
      <a:accent3>
        <a:srgbClr val="016D9B"/>
      </a:accent3>
      <a:accent4>
        <a:srgbClr val="DF6E1E"/>
      </a:accent4>
      <a:accent5>
        <a:srgbClr val="669999"/>
      </a:accent5>
      <a:accent6>
        <a:srgbClr val="99CC66"/>
      </a:accent6>
      <a:hlink>
        <a:srgbClr val="009966"/>
      </a:hlink>
      <a:folHlink>
        <a:srgbClr val="009966"/>
      </a:folHlink>
    </a:clrScheme>
    <a:fontScheme name="Orrick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10C19-E7C1-4F39-A80F-2F683F5B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Orrick</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NWL</dc:creator>
  <cp:keywords/>
  <dc:description/>
  <cp:lastModifiedBy>Lopez, Maria [COB]</cp:lastModifiedBy>
  <cp:revision>4</cp:revision>
  <cp:lastPrinted>2019-11-25T16:18:00Z</cp:lastPrinted>
  <dcterms:created xsi:type="dcterms:W3CDTF">2019-11-25T16:18:00Z</dcterms:created>
  <dcterms:modified xsi:type="dcterms:W3CDTF">2019-12-18T17:33:00Z</dcterms:modified>
</cp:coreProperties>
</file>