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5E" w:rsidRDefault="00802B5E" w:rsidP="00802B5E">
      <w:pPr>
        <w:spacing w:line="360" w:lineRule="atLeast"/>
        <w:rPr>
          <w:rFonts w:ascii="Georgia" w:eastAsia="Times New Roman" w:hAnsi="Georgia" w:cs="Arial"/>
          <w:b/>
          <w:color w:val="252525"/>
          <w:sz w:val="25"/>
          <w:szCs w:val="25"/>
          <w:u w:val="single"/>
        </w:rPr>
      </w:pPr>
      <w:bookmarkStart w:id="0" w:name="_GoBack"/>
      <w:bookmarkEnd w:id="0"/>
      <w:r>
        <w:rPr>
          <w:rFonts w:ascii="Georgia" w:eastAsia="Times New Roman" w:hAnsi="Georgia" w:cs="Arial"/>
          <w:b/>
          <w:color w:val="252525"/>
          <w:sz w:val="25"/>
          <w:szCs w:val="25"/>
          <w:u w:val="single"/>
        </w:rPr>
        <w:t>Government Code provisions</w:t>
      </w:r>
    </w:p>
    <w:p w:rsidR="00802B5E" w:rsidRDefault="00802B5E" w:rsidP="00802B5E">
      <w:pPr>
        <w:spacing w:line="360" w:lineRule="atLeast"/>
        <w:jc w:val="center"/>
        <w:rPr>
          <w:rFonts w:ascii="Georgia" w:eastAsia="Times New Roman" w:hAnsi="Georgia" w:cs="Arial"/>
          <w:color w:val="252525"/>
          <w:sz w:val="25"/>
          <w:szCs w:val="25"/>
        </w:rPr>
      </w:pPr>
    </w:p>
    <w:p w:rsidR="00802B5E" w:rsidRDefault="00802B5E" w:rsidP="00802B5E">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Government Code § 25350.5.</w:t>
      </w:r>
      <w:r>
        <w:rPr>
          <w:rFonts w:ascii="Georgia" w:eastAsia="Times New Roman" w:hAnsi="Georgia" w:cs="Arial"/>
          <w:color w:val="252525"/>
          <w:sz w:val="25"/>
          <w:szCs w:val="25"/>
        </w:rPr>
        <w:t xml:space="preserve"> Power of eminent domain</w:t>
      </w:r>
    </w:p>
    <w:p w:rsidR="00802B5E" w:rsidRDefault="00802B5E" w:rsidP="00802B5E">
      <w:pPr>
        <w:spacing w:line="360" w:lineRule="atLeast"/>
        <w:jc w:val="center"/>
        <w:rPr>
          <w:rFonts w:ascii="Georgia" w:eastAsia="Times New Roman" w:hAnsi="Georgia" w:cs="Arial"/>
          <w:color w:val="252525"/>
          <w:sz w:val="25"/>
          <w:szCs w:val="25"/>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The board of supervisors of any county may acquire by eminent domain any property necessary to carry out any of the powers or functions of the county.</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Government Code § 7267.1</w:t>
      </w:r>
      <w:r>
        <w:rPr>
          <w:rFonts w:ascii="Georgia" w:eastAsia="Times New Roman" w:hAnsi="Georgia" w:cs="Arial"/>
          <w:color w:val="252525"/>
          <w:sz w:val="25"/>
          <w:szCs w:val="25"/>
        </w:rPr>
        <w:t>. Acquisition by negotiation; appraisal</w:t>
      </w:r>
    </w:p>
    <w:p w:rsidR="00802B5E" w:rsidRDefault="00802B5E" w:rsidP="00802B5E">
      <w:pPr>
        <w:spacing w:line="360" w:lineRule="atLeast"/>
        <w:rPr>
          <w:rFonts w:ascii="Georgia" w:eastAsia="Times New Roman" w:hAnsi="Georgia"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(a) The public entity shall make every reasonable effort to acquire expeditiously real property by negotiation.</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(b) Real property shall be appraised before the initiation of negotiations, and the owner, or the owner's designated representative, shall be given an opportunity to accompany the appraiser during his or her inspection of the property. However, the public entity may prescribe a procedure to waive the appraisal in cases involving the acquisition by sale or donation of property with a low fair market value.</w:t>
      </w:r>
    </w:p>
    <w:p w:rsidR="00802B5E" w:rsidRDefault="00802B5E" w:rsidP="00802B5E"/>
    <w:p w:rsidR="00802B5E" w:rsidRDefault="00802B5E" w:rsidP="00802B5E">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Government Code § 7267.2.</w:t>
      </w:r>
      <w:r>
        <w:rPr>
          <w:rFonts w:ascii="Georgia" w:eastAsia="Times New Roman" w:hAnsi="Georgia" w:cs="Arial"/>
          <w:color w:val="252525"/>
          <w:sz w:val="25"/>
          <w:szCs w:val="25"/>
        </w:rPr>
        <w:t xml:space="preserve"> Just compensation; property offered for sale by owner</w:t>
      </w:r>
    </w:p>
    <w:p w:rsidR="00802B5E" w:rsidRDefault="00802B5E" w:rsidP="00802B5E">
      <w:pPr>
        <w:spacing w:line="360" w:lineRule="atLeast"/>
        <w:rPr>
          <w:rFonts w:ascii="Georgia" w:eastAsia="Times New Roman" w:hAnsi="Georgia"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 xml:space="preserve">(a)(1) Prior to adopting a resolution of necessity pursuant to </w:t>
      </w:r>
      <w:hyperlink r:id="rId6" w:history="1">
        <w:r>
          <w:rPr>
            <w:rStyle w:val="Hyperlink"/>
            <w:rFonts w:ascii="Arial" w:eastAsia="Times New Roman" w:hAnsi="Arial" w:cs="Arial"/>
            <w:color w:val="145DA4"/>
            <w:sz w:val="21"/>
            <w:szCs w:val="21"/>
          </w:rPr>
          <w:t>Section 1245.230 of the Code of Civil Procedure</w:t>
        </w:r>
      </w:hyperlink>
      <w:r>
        <w:rPr>
          <w:rFonts w:ascii="Arial" w:eastAsia="Times New Roman" w:hAnsi="Arial" w:cs="Arial"/>
          <w:color w:val="252525"/>
          <w:sz w:val="21"/>
          <w:szCs w:val="21"/>
        </w:rPr>
        <w:t xml:space="preserve"> and initiating negotiations for the acquisition of real property, the public entity shall establish an amount that it believes to be just compensation therefor, and shall make an offer to the owner or owners of record to acquire the property for the full amount so established, unless the owner cannot be located with reasonable diligence. The offer may be conditioned upon the legislative body's ratification of the offer by execution of a contract of acquisition or adoption of a resolution of necessity or both. The amount shall not be less than the public entity's approved appraisal of the fair market value of the property. A decrease or increase in the fair market value of real property to be acquired prior to the date of valuation caused by the public improvement for which the property is acquired, or by the likelihood that the property would be acquired for the improvement, other than that due to physical deterioration within the reasonable control of the owner or occupant, shall be disregarded in determining the compensation for the property.</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lastRenderedPageBreak/>
        <w:t>(2) At the time of making the offer described in paragraph (1), the public entity shall provide the property owner with an informational pamphlet detailing the process of eminent domain and the property owner's rights under the Eminent Domain Law.</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(b) The public entity shall provide the owner of real property to be acquired with a written statement of, and summary of the basis for, the amount it established as just compensation. The written statement and summary shall contain detail sufficient to indicate clearly the basis for the offer, including, but not limited to, all of the following information:</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(1) The date of valuation, highest and best use, and applicable zoning of property.</w:t>
      </w: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(2) The principal transactions, reproduction or replacement cost analysis, or capitalization analysis, supporting the determination of value.</w:t>
      </w: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(3) If appropriate, the just compensation for the real property acquired and for damages to remaining real property shall be separately stated and shall include the calculations and narrative explanation supporting the compensation, including any offsetting benefits.</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(c) Where the property involved is owner-occupied residential property and contains no more than four residential units, the homeowner shall, upon request, be allowed to review a copy of the appraisal upon which the offer is based. The public entity may, but is not required to, satisfy the written statement, summary, and review requirements of this section by providing the owner a copy of the appraisal on which the offer is based.</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(d) Notwithstanding subdivision (a), a public entity may make an offer to the owner or owners of record to acquire real property for less than an amount that it believes to be just compensation therefor if (1) the real property is offered for sale by the owner at a specified price less than the amount the public entity believes to be just compensation therefor, (2) the public entity offers a price that is equal to the specified price for which the property is being offered by the landowner, and (3) no federal funds are involved in the acquisition, construction, or project development.</w:t>
      </w:r>
      <w:r>
        <w:rPr>
          <w:rFonts w:ascii="Arial" w:eastAsia="Times New Roman" w:hAnsi="Arial" w:cs="Arial"/>
          <w:vanish/>
          <w:color w:val="252525"/>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(e) As used in subdivision (d), “offered for sale” means any of the following:</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(1) Directly offered by the landowner to the public entity for a specified price in advance of negotiations by the public entity.</w:t>
      </w:r>
    </w:p>
    <w:p w:rsidR="008C0F8F" w:rsidRDefault="008C0F8F" w:rsidP="008C0F8F">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(2) Offered for sale to the general public at an advertised or published specified price, set no more than six months prior to, and still available at, the time the public entity initiates contact with the landowner regarding the public entity's possible acquisition of the property.</w:t>
      </w:r>
    </w:p>
    <w:p w:rsidR="00802B5E" w:rsidRDefault="00802B5E" w:rsidP="00802B5E">
      <w:pPr>
        <w:spacing w:line="360" w:lineRule="atLeast"/>
        <w:jc w:val="center"/>
        <w:rPr>
          <w:rFonts w:ascii="Georgia" w:eastAsia="Times New Roman" w:hAnsi="Georgia" w:cs="Arial"/>
          <w:color w:val="252525"/>
          <w:sz w:val="25"/>
          <w:szCs w:val="25"/>
        </w:rPr>
      </w:pPr>
      <w:r>
        <w:rPr>
          <w:rFonts w:ascii="Georgia" w:eastAsia="Times New Roman" w:hAnsi="Georgia" w:cs="Arial"/>
          <w:b/>
          <w:color w:val="252525"/>
          <w:sz w:val="25"/>
          <w:szCs w:val="25"/>
        </w:rPr>
        <w:t>Government Code § 65402</w:t>
      </w:r>
      <w:r>
        <w:rPr>
          <w:rFonts w:ascii="Georgia" w:eastAsia="Times New Roman" w:hAnsi="Georgia" w:cs="Arial"/>
          <w:color w:val="252525"/>
          <w:sz w:val="25"/>
          <w:szCs w:val="25"/>
        </w:rPr>
        <w:t>. Acquisition or disposition of property; construction of buildings; requirements before action</w:t>
      </w:r>
    </w:p>
    <w:p w:rsidR="00802B5E" w:rsidRDefault="00802B5E" w:rsidP="00802B5E">
      <w:pPr>
        <w:spacing w:line="360" w:lineRule="atLeast"/>
        <w:rPr>
          <w:rFonts w:ascii="Georgia" w:eastAsia="Times New Roman" w:hAnsi="Georgia"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(a) If a general plan or part thereof has been adopted, no real property shall be acquired by dedication or otherwise for street, square, park or other public purposes, and no real property shall be disposed of, no street shall be vacated or abandoned, and no public building or structure shall be constructed or authorized, if the adopted general plan or part thereof applies thereto, until the location, purpose and extent of such acquisition or disposition, such street vacation or abandonment, or such public building or structure have been submitted to and reported upon by the planning agency as to conformity with said adopted general plan or part thereof. The planning agency shall render its report as to conformity with said adopted general plan or part thereof within forty (40) days after the matter was submitted to it, or such longer period of time as may be designated by the legislative body.</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If the legislative body so provides, by ordinance or resolution, the provisions of this subdivision shall not apply to: (1) the disposition of the remainder of a larger parcel which was acquired and used in part for street purposes; (2) acquisitions, dispositions, or abandonments for street widening; or (3) alignment projects, provided such dispositions for street purposes, acquisitions, dispositions, or abandonments for street widening, or alignment projects are of a minor nature.</w:t>
      </w:r>
    </w:p>
    <w:p w:rsidR="00802B5E" w:rsidRDefault="00802B5E" w:rsidP="00802B5E">
      <w:pPr>
        <w:spacing w:line="360" w:lineRule="atLeast"/>
        <w:rPr>
          <w:rFonts w:ascii="Arial" w:eastAsia="Times New Roman" w:hAnsi="Arial" w:cs="Arial"/>
          <w:color w:val="252525"/>
          <w:sz w:val="21"/>
          <w:szCs w:val="21"/>
        </w:rPr>
      </w:pPr>
    </w:p>
    <w:p w:rsidR="000D211A"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 xml:space="preserve">(b) A county shall not acquire real property for any of the purposes specified in paragraph (a), nor dispose of any real property, nor construct or authorize a public building or structure, in another county or within the corporate limits of a city, if such city or other county has adopted a general plan or part thereof and such general plan or part thereof is applicable thereto, and a city shall not acquire real property for any of the purposes specified in paragraph (a), nor dispose of any real property, nor construct or authorize a public building or structure, in another city or in unincorporated territory, if such other city or the county in which such unincorporated territory is situated has adopted a general plan or part thereof and such general plan or part thereof is applicable thereto, until the location, purpose and extent of such acquisition, disposition, or such public building or structure have been submitted to and reported upon by the planning agency having jurisdiction, as to conformity with said adopted general plan or part thereof. Failure of the planning agency to report within forty (40) days after the matter has been submitted to it shall be conclusively deemed a finding that the proposed acquisition, disposition, or public building or structure is in conformity with said adopted general plan or part thereof. The provisions of this paragraph (b) shall not apply to acquisition or abandonment for </w:t>
      </w:r>
    </w:p>
    <w:p w:rsidR="000D211A" w:rsidRDefault="000D211A"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street widening or alignment projects of a minor nature if the legislative body having the real property within its boundaries so provides by ordinance or resolution.</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(c) A local agency shall not acquire real property for any of the purposes specified in paragraph (a) nor dispose of any real property, nor construct or authorize a public building or structure, in any county or city, if such county or city has adopted a general plan or part thereof and such general plan or part thereof is applicable thereto, until the location, purpose and extent of such acquisition, disposition, or such public building or structure have been submitted to and reported upon by the planning agency having jurisdiction, as to conformity with said adopted general plan or part thereof.</w:t>
      </w:r>
      <w:r>
        <w:rPr>
          <w:rFonts w:ascii="Arial" w:eastAsia="Times New Roman" w:hAnsi="Arial" w:cs="Arial"/>
          <w:vanish/>
          <w:color w:val="252525"/>
          <w:sz w:val="21"/>
          <w:szCs w:val="21"/>
        </w:rPr>
        <w:object w:dxaOrig="225" w:dyaOrig="225">
          <v:shape id="_x0000_i1033" type="#_x0000_t75" style="width:1in;height:18pt" o:ole="">
            <v:imagedata r:id="rId7" o:title=""/>
          </v:shape>
          <w:control r:id="rId9" w:name="DefaultOcxName1" w:shapeid="_x0000_i1033"/>
        </w:object>
      </w:r>
      <w:r>
        <w:rPr>
          <w:rFonts w:ascii="Arial" w:eastAsia="Times New Roman" w:hAnsi="Arial" w:cs="Arial"/>
          <w:color w:val="252525"/>
          <w:sz w:val="21"/>
          <w:szCs w:val="21"/>
        </w:rPr>
        <w:t xml:space="preserve"> Failure of the planning agency to report within forty (40) days after the matter has been submitted to it shall be conclusively deemed a finding that the proposed acquisition, disposition, or public building or structure is in conformity with said adopted general plan or part thereof. If the planning agency disapproves the location, purpose or extent of such acquisition, disposition, or the public building or structure, the disapproval may be overruled by the local agency.</w:t>
      </w:r>
    </w:p>
    <w:p w:rsidR="00802B5E" w:rsidRDefault="00802B5E" w:rsidP="00802B5E">
      <w:pPr>
        <w:spacing w:line="360" w:lineRule="atLeast"/>
        <w:rPr>
          <w:rFonts w:ascii="Arial" w:eastAsia="Times New Roman" w:hAnsi="Arial" w:cs="Arial"/>
          <w:color w:val="252525"/>
          <w:sz w:val="21"/>
          <w:szCs w:val="21"/>
        </w:rPr>
      </w:pPr>
      <w:r>
        <w:rPr>
          <w:rFonts w:ascii="Arial" w:eastAsia="Times New Roman" w:hAnsi="Arial" w:cs="Arial"/>
          <w:color w:val="252525"/>
          <w:sz w:val="21"/>
          <w:szCs w:val="21"/>
        </w:rPr>
        <w:t>Local agency as used in this paragraph (c) means an agency of the state for the local performance of governmental or proprietary functions within limited boundaries. Local agency does not include the state, or county, or a city.</w:t>
      </w:r>
    </w:p>
    <w:p w:rsidR="00802B5E" w:rsidRDefault="00802B5E" w:rsidP="00802B5E">
      <w:pPr>
        <w:spacing w:line="360" w:lineRule="atLeast"/>
        <w:rPr>
          <w:rFonts w:ascii="Arial" w:eastAsia="Times New Roman" w:hAnsi="Arial" w:cs="Arial"/>
          <w:color w:val="252525"/>
          <w:sz w:val="21"/>
          <w:szCs w:val="21"/>
        </w:rPr>
      </w:pPr>
    </w:p>
    <w:p w:rsidR="00802B5E" w:rsidRDefault="00802B5E" w:rsidP="00802B5E"/>
    <w:p w:rsidR="00802B5E" w:rsidRDefault="00802B5E" w:rsidP="00802B5E"/>
    <w:p w:rsidR="00703F90" w:rsidRDefault="00703F90"/>
    <w:sectPr w:rsidR="00703F90" w:rsidSect="008C0F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9A" w:rsidRDefault="0073449A" w:rsidP="0073449A">
      <w:r>
        <w:separator/>
      </w:r>
    </w:p>
  </w:endnote>
  <w:endnote w:type="continuationSeparator" w:id="0">
    <w:p w:rsidR="0073449A" w:rsidRDefault="0073449A" w:rsidP="007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0" w:rsidRDefault="00680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0" w:rsidRDefault="00680520">
    <w:pPr>
      <w:pStyle w:val="Footer"/>
    </w:pPr>
    <w:r>
      <w:tab/>
    </w:r>
    <w:r>
      <w:tab/>
      <w:t xml:space="preserve">Page </w:t>
    </w:r>
    <w:r>
      <w:rPr>
        <w:b/>
        <w:bCs/>
        <w:szCs w:val="24"/>
      </w:rPr>
      <w:fldChar w:fldCharType="begin"/>
    </w:r>
    <w:r>
      <w:rPr>
        <w:b/>
        <w:bCs/>
      </w:rPr>
      <w:instrText xml:space="preserve"> PAGE </w:instrText>
    </w:r>
    <w:r>
      <w:rPr>
        <w:b/>
        <w:bCs/>
        <w:szCs w:val="24"/>
      </w:rPr>
      <w:fldChar w:fldCharType="separate"/>
    </w:r>
    <w:r w:rsidR="00695DD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5DD7">
      <w:rPr>
        <w:b/>
        <w:bCs/>
        <w:noProof/>
      </w:rPr>
      <w:t>4</w:t>
    </w:r>
    <w:r>
      <w:rPr>
        <w:b/>
        <w:bCs/>
        <w:szCs w:val="24"/>
      </w:rPr>
      <w:fldChar w:fldCharType="end"/>
    </w:r>
  </w:p>
  <w:p w:rsidR="0073449A" w:rsidRDefault="00734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0" w:rsidRDefault="0068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9A" w:rsidRDefault="0073449A" w:rsidP="0073449A">
      <w:r>
        <w:separator/>
      </w:r>
    </w:p>
  </w:footnote>
  <w:footnote w:type="continuationSeparator" w:id="0">
    <w:p w:rsidR="0073449A" w:rsidRDefault="0073449A" w:rsidP="0073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0" w:rsidRDefault="00680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9A" w:rsidRDefault="0073449A" w:rsidP="0073449A">
    <w:pPr>
      <w:pStyle w:val="Header"/>
      <w:jc w:val="right"/>
    </w:pPr>
    <w:r>
      <w:t>ATTACHMENT 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20" w:rsidRDefault="00680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6E"/>
    <w:rsid w:val="000D211A"/>
    <w:rsid w:val="00680520"/>
    <w:rsid w:val="00695DD7"/>
    <w:rsid w:val="00703F90"/>
    <w:rsid w:val="0073449A"/>
    <w:rsid w:val="00802B5E"/>
    <w:rsid w:val="008C0F8F"/>
    <w:rsid w:val="00A0666E"/>
    <w:rsid w:val="00F3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B3B28B-976F-4557-89C1-CE7E6142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5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B5E"/>
    <w:rPr>
      <w:color w:val="0000FF"/>
      <w:u w:val="single"/>
    </w:rPr>
  </w:style>
  <w:style w:type="paragraph" w:styleId="Header">
    <w:name w:val="header"/>
    <w:basedOn w:val="Normal"/>
    <w:link w:val="HeaderChar"/>
    <w:uiPriority w:val="99"/>
    <w:unhideWhenUsed/>
    <w:rsid w:val="0073449A"/>
    <w:pPr>
      <w:tabs>
        <w:tab w:val="center" w:pos="4680"/>
        <w:tab w:val="right" w:pos="9360"/>
      </w:tabs>
    </w:pPr>
  </w:style>
  <w:style w:type="character" w:customStyle="1" w:styleId="HeaderChar">
    <w:name w:val="Header Char"/>
    <w:basedOn w:val="DefaultParagraphFont"/>
    <w:link w:val="Header"/>
    <w:uiPriority w:val="99"/>
    <w:rsid w:val="0073449A"/>
    <w:rPr>
      <w:rFonts w:ascii="Times New Roman" w:eastAsia="Calibri" w:hAnsi="Times New Roman" w:cs="Times New Roman"/>
      <w:sz w:val="24"/>
    </w:rPr>
  </w:style>
  <w:style w:type="paragraph" w:styleId="Footer">
    <w:name w:val="footer"/>
    <w:basedOn w:val="Normal"/>
    <w:link w:val="FooterChar"/>
    <w:uiPriority w:val="99"/>
    <w:unhideWhenUsed/>
    <w:rsid w:val="0073449A"/>
    <w:pPr>
      <w:tabs>
        <w:tab w:val="center" w:pos="4680"/>
        <w:tab w:val="right" w:pos="9360"/>
      </w:tabs>
    </w:pPr>
  </w:style>
  <w:style w:type="character" w:customStyle="1" w:styleId="FooterChar">
    <w:name w:val="Footer Char"/>
    <w:basedOn w:val="DefaultParagraphFont"/>
    <w:link w:val="Footer"/>
    <w:uiPriority w:val="99"/>
    <w:rsid w:val="0073449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0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8F"/>
    <w:rPr>
      <w:rFonts w:ascii="Segoe UI" w:eastAsia="Calibri" w:hAnsi="Segoe UI" w:cs="Segoe UI"/>
      <w:sz w:val="18"/>
      <w:szCs w:val="18"/>
    </w:rPr>
  </w:style>
  <w:style w:type="paragraph" w:styleId="ListParagraph">
    <w:name w:val="List Paragraph"/>
    <w:basedOn w:val="Normal"/>
    <w:uiPriority w:val="34"/>
    <w:qFormat/>
    <w:rsid w:val="008C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3588">
      <w:bodyDiv w:val="1"/>
      <w:marLeft w:val="0"/>
      <w:marRight w:val="0"/>
      <w:marTop w:val="0"/>
      <w:marBottom w:val="0"/>
      <w:divBdr>
        <w:top w:val="none" w:sz="0" w:space="0" w:color="auto"/>
        <w:left w:val="none" w:sz="0" w:space="0" w:color="auto"/>
        <w:bottom w:val="none" w:sz="0" w:space="0" w:color="auto"/>
        <w:right w:val="none" w:sz="0" w:space="0" w:color="auto"/>
      </w:divBdr>
    </w:div>
    <w:div w:id="300118686">
      <w:bodyDiv w:val="1"/>
      <w:marLeft w:val="0"/>
      <w:marRight w:val="0"/>
      <w:marTop w:val="0"/>
      <w:marBottom w:val="0"/>
      <w:divBdr>
        <w:top w:val="none" w:sz="0" w:space="0" w:color="auto"/>
        <w:left w:val="none" w:sz="0" w:space="0" w:color="auto"/>
        <w:bottom w:val="none" w:sz="0" w:space="0" w:color="auto"/>
        <w:right w:val="none" w:sz="0" w:space="0" w:color="auto"/>
      </w:divBdr>
    </w:div>
    <w:div w:id="9960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ext.westlaw.com/Link/Document/FullText?findType=L&amp;pubNum=1000201&amp;cite=CACPS1245.230&amp;originatingDoc=NFA3E9AB0A12D11DDA326D9465048291F&amp;refType=LQ&amp;originationContext=document&amp;transitionType=DocumentItem&amp;contextData=(sc.UserEnteredCitatio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cobscan1</dc:creator>
  <cp:keywords/>
  <dc:description/>
  <cp:lastModifiedBy>Strahan, Anna</cp:lastModifiedBy>
  <cp:revision>2</cp:revision>
  <cp:lastPrinted>2018-07-03T15:54:00Z</cp:lastPrinted>
  <dcterms:created xsi:type="dcterms:W3CDTF">2019-08-08T20:39:00Z</dcterms:created>
  <dcterms:modified xsi:type="dcterms:W3CDTF">2019-08-08T20:39:00Z</dcterms:modified>
</cp:coreProperties>
</file>