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F62" w:rsidRDefault="009607D3">
      <w:pPr>
        <w:pStyle w:val="BodyText"/>
        <w:ind w:left="666"/>
        <w:rPr>
          <w:rFonts w:ascii="Times New Roman"/>
          <w:sz w:val="20"/>
        </w:rPr>
      </w:pPr>
      <w:r>
        <w:rPr>
          <w:rFonts w:ascii="Times New Roman"/>
          <w:noProof/>
          <w:sz w:val="20"/>
          <w:lang w:bidi="ar-SA"/>
        </w:rPr>
        <w:drawing>
          <wp:inline distT="0" distB="0" distL="0" distR="0">
            <wp:extent cx="6089415" cy="68884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089415" cy="688848"/>
                    </a:xfrm>
                    <a:prstGeom prst="rect">
                      <a:avLst/>
                    </a:prstGeom>
                  </pic:spPr>
                </pic:pic>
              </a:graphicData>
            </a:graphic>
          </wp:inline>
        </w:drawing>
      </w:r>
    </w:p>
    <w:p w:rsidR="00EF2F62" w:rsidRDefault="00EF2F62">
      <w:pPr>
        <w:pStyle w:val="BodyText"/>
        <w:spacing w:before="1"/>
        <w:rPr>
          <w:rFonts w:ascii="Times New Roman"/>
          <w:sz w:val="19"/>
        </w:rPr>
      </w:pPr>
    </w:p>
    <w:tbl>
      <w:tblPr>
        <w:tblW w:w="0" w:type="auto"/>
        <w:tblInd w:w="103" w:type="dxa"/>
        <w:tblLayout w:type="fixed"/>
        <w:tblCellMar>
          <w:left w:w="0" w:type="dxa"/>
          <w:right w:w="0" w:type="dxa"/>
        </w:tblCellMar>
        <w:tblLook w:val="01E0" w:firstRow="1" w:lastRow="1" w:firstColumn="1" w:lastColumn="1" w:noHBand="0" w:noVBand="0"/>
      </w:tblPr>
      <w:tblGrid>
        <w:gridCol w:w="2487"/>
        <w:gridCol w:w="7727"/>
      </w:tblGrid>
      <w:tr w:rsidR="00EF2F62">
        <w:trPr>
          <w:trHeight w:val="13286"/>
        </w:trPr>
        <w:tc>
          <w:tcPr>
            <w:tcW w:w="2487" w:type="dxa"/>
            <w:tcBorders>
              <w:right w:val="single" w:sz="6" w:space="0" w:color="99CCFF"/>
            </w:tcBorders>
          </w:tcPr>
          <w:p w:rsidR="00EF2F62" w:rsidRDefault="00EF2F62">
            <w:pPr>
              <w:pStyle w:val="TableParagraph"/>
              <w:rPr>
                <w:rFonts w:ascii="Times New Roman"/>
                <w:sz w:val="16"/>
              </w:rPr>
            </w:pPr>
          </w:p>
          <w:p w:rsidR="00EF2F62" w:rsidRDefault="00EF2F62">
            <w:pPr>
              <w:pStyle w:val="TableParagraph"/>
              <w:spacing w:before="6"/>
              <w:rPr>
                <w:rFonts w:ascii="Times New Roman"/>
                <w:sz w:val="18"/>
              </w:rPr>
            </w:pPr>
          </w:p>
          <w:p w:rsidR="00EF2F62" w:rsidRDefault="009607D3">
            <w:pPr>
              <w:pStyle w:val="TableParagraph"/>
              <w:ind w:left="200"/>
              <w:rPr>
                <w:rFonts w:ascii="Verdana"/>
                <w:b/>
                <w:sz w:val="13"/>
              </w:rPr>
            </w:pPr>
            <w:r>
              <w:rPr>
                <w:rFonts w:ascii="Verdana"/>
                <w:b/>
                <w:sz w:val="13"/>
              </w:rPr>
              <w:t>DYLAN WRIGHT</w:t>
            </w:r>
          </w:p>
          <w:p w:rsidR="00EF2F62" w:rsidRDefault="009607D3">
            <w:pPr>
              <w:pStyle w:val="TableParagraph"/>
              <w:spacing w:before="36"/>
              <w:ind w:left="200"/>
              <w:rPr>
                <w:rFonts w:ascii="Verdana"/>
                <w:sz w:val="13"/>
              </w:rPr>
            </w:pPr>
            <w:r>
              <w:rPr>
                <w:rFonts w:ascii="Verdana"/>
                <w:sz w:val="13"/>
              </w:rPr>
              <w:t>DIRECTOR</w:t>
            </w:r>
          </w:p>
          <w:p w:rsidR="00EF2F62" w:rsidRDefault="009607D3">
            <w:pPr>
              <w:pStyle w:val="TableParagraph"/>
              <w:spacing w:before="37"/>
              <w:ind w:left="200"/>
              <w:rPr>
                <w:rFonts w:ascii="Verdana"/>
                <w:sz w:val="13"/>
              </w:rPr>
            </w:pPr>
            <w:r>
              <w:rPr>
                <w:rFonts w:ascii="Verdana"/>
                <w:sz w:val="13"/>
              </w:rPr>
              <w:t>OC COMMUNITY RESOURCES</w:t>
            </w:r>
          </w:p>
          <w:p w:rsidR="00EF2F62" w:rsidRDefault="00EF2F62">
            <w:pPr>
              <w:pStyle w:val="TableParagraph"/>
              <w:rPr>
                <w:rFonts w:ascii="Times New Roman"/>
                <w:sz w:val="20"/>
              </w:rPr>
            </w:pPr>
          </w:p>
          <w:p w:rsidR="00EF2F62" w:rsidRDefault="009607D3">
            <w:pPr>
              <w:pStyle w:val="TableParagraph"/>
              <w:spacing w:before="1"/>
              <w:ind w:left="200"/>
              <w:rPr>
                <w:rFonts w:ascii="Verdana"/>
                <w:b/>
                <w:sz w:val="13"/>
              </w:rPr>
            </w:pPr>
            <w:r>
              <w:rPr>
                <w:rFonts w:ascii="Verdana"/>
                <w:b/>
                <w:sz w:val="13"/>
              </w:rPr>
              <w:t>CYMANTHA ATKINSON</w:t>
            </w:r>
          </w:p>
          <w:p w:rsidR="00EF2F62" w:rsidRDefault="009607D3">
            <w:pPr>
              <w:pStyle w:val="TableParagraph"/>
              <w:spacing w:before="36"/>
              <w:ind w:left="200"/>
              <w:rPr>
                <w:rFonts w:ascii="Verdana"/>
                <w:sz w:val="13"/>
              </w:rPr>
            </w:pPr>
            <w:r>
              <w:rPr>
                <w:rFonts w:ascii="Verdana"/>
                <w:sz w:val="13"/>
              </w:rPr>
              <w:t>DEPUTY DIRECTOR</w:t>
            </w:r>
          </w:p>
          <w:p w:rsidR="00EF2F62" w:rsidRDefault="009607D3">
            <w:pPr>
              <w:pStyle w:val="TableParagraph"/>
              <w:spacing w:before="36"/>
              <w:ind w:left="200"/>
              <w:rPr>
                <w:rFonts w:ascii="Verdana"/>
                <w:sz w:val="13"/>
              </w:rPr>
            </w:pPr>
            <w:r>
              <w:rPr>
                <w:rFonts w:ascii="Verdana"/>
                <w:sz w:val="13"/>
              </w:rPr>
              <w:t>OC COMMUNITY RESOURCES</w:t>
            </w:r>
          </w:p>
          <w:p w:rsidR="00EF2F62" w:rsidRDefault="00EF2F62">
            <w:pPr>
              <w:pStyle w:val="TableParagraph"/>
              <w:spacing w:before="1"/>
              <w:rPr>
                <w:rFonts w:ascii="Times New Roman"/>
                <w:sz w:val="20"/>
              </w:rPr>
            </w:pPr>
          </w:p>
          <w:p w:rsidR="00EF2F62" w:rsidRDefault="009607D3">
            <w:pPr>
              <w:pStyle w:val="TableParagraph"/>
              <w:spacing w:line="295" w:lineRule="auto"/>
              <w:ind w:left="200" w:right="405"/>
              <w:rPr>
                <w:rFonts w:ascii="Verdana"/>
                <w:sz w:val="13"/>
              </w:rPr>
            </w:pPr>
            <w:r>
              <w:rPr>
                <w:rFonts w:ascii="Verdana"/>
                <w:b/>
                <w:sz w:val="13"/>
              </w:rPr>
              <w:t xml:space="preserve">ROGER UMINSKI </w:t>
            </w:r>
            <w:r>
              <w:rPr>
                <w:rFonts w:ascii="Verdana"/>
                <w:sz w:val="13"/>
              </w:rPr>
              <w:t>DIRECTOR ADMINISTRATIVE</w:t>
            </w:r>
            <w:r>
              <w:rPr>
                <w:rFonts w:ascii="Verdana"/>
                <w:spacing w:val="-8"/>
                <w:sz w:val="13"/>
              </w:rPr>
              <w:t xml:space="preserve"> </w:t>
            </w:r>
            <w:r>
              <w:rPr>
                <w:rFonts w:ascii="Verdana"/>
                <w:sz w:val="13"/>
              </w:rPr>
              <w:t>SERVICES</w:t>
            </w:r>
          </w:p>
          <w:p w:rsidR="00EF2F62" w:rsidRDefault="00EF2F62">
            <w:pPr>
              <w:pStyle w:val="TableParagraph"/>
              <w:spacing w:before="11"/>
              <w:rPr>
                <w:rFonts w:ascii="Times New Roman"/>
                <w:sz w:val="16"/>
              </w:rPr>
            </w:pPr>
          </w:p>
          <w:p w:rsidR="00EF2F62" w:rsidRDefault="009607D3">
            <w:pPr>
              <w:pStyle w:val="TableParagraph"/>
              <w:ind w:left="200"/>
              <w:rPr>
                <w:rFonts w:ascii="Verdana"/>
                <w:b/>
                <w:sz w:val="13"/>
              </w:rPr>
            </w:pPr>
            <w:r>
              <w:rPr>
                <w:rFonts w:ascii="Verdana"/>
                <w:b/>
                <w:sz w:val="13"/>
              </w:rPr>
              <w:t>MIKE KAVIANI</w:t>
            </w:r>
          </w:p>
          <w:p w:rsidR="00EF2F62" w:rsidRDefault="009607D3">
            <w:pPr>
              <w:pStyle w:val="TableParagraph"/>
              <w:spacing w:before="36"/>
              <w:ind w:left="200"/>
              <w:rPr>
                <w:rFonts w:ascii="Verdana"/>
                <w:sz w:val="13"/>
              </w:rPr>
            </w:pPr>
            <w:r>
              <w:rPr>
                <w:rFonts w:ascii="Verdana"/>
                <w:sz w:val="13"/>
              </w:rPr>
              <w:t>DIRECTOR</w:t>
            </w:r>
          </w:p>
          <w:p w:rsidR="00EF2F62" w:rsidRDefault="009607D3">
            <w:pPr>
              <w:pStyle w:val="TableParagraph"/>
              <w:spacing w:before="37"/>
              <w:ind w:left="200"/>
              <w:rPr>
                <w:rFonts w:ascii="Verdana"/>
                <w:sz w:val="13"/>
              </w:rPr>
            </w:pPr>
            <w:r>
              <w:rPr>
                <w:rFonts w:ascii="Verdana"/>
                <w:sz w:val="13"/>
              </w:rPr>
              <w:t>OC ANIMAL CARE</w:t>
            </w:r>
          </w:p>
          <w:p w:rsidR="00EF2F62" w:rsidRDefault="00EF2F62">
            <w:pPr>
              <w:pStyle w:val="TableParagraph"/>
              <w:rPr>
                <w:rFonts w:ascii="Times New Roman"/>
                <w:sz w:val="20"/>
              </w:rPr>
            </w:pPr>
          </w:p>
          <w:p w:rsidR="00EF2F62" w:rsidRDefault="009607D3">
            <w:pPr>
              <w:pStyle w:val="TableParagraph"/>
              <w:spacing w:before="1"/>
              <w:ind w:left="200"/>
              <w:rPr>
                <w:rFonts w:ascii="Verdana"/>
                <w:b/>
                <w:sz w:val="13"/>
              </w:rPr>
            </w:pPr>
            <w:r>
              <w:rPr>
                <w:rFonts w:ascii="Verdana"/>
                <w:b/>
                <w:sz w:val="13"/>
              </w:rPr>
              <w:t>SHANNON LEGERE</w:t>
            </w:r>
          </w:p>
          <w:p w:rsidR="00EF2F62" w:rsidRDefault="009607D3">
            <w:pPr>
              <w:pStyle w:val="TableParagraph"/>
              <w:spacing w:before="36"/>
              <w:ind w:left="200"/>
              <w:rPr>
                <w:rFonts w:ascii="Verdana"/>
                <w:sz w:val="13"/>
              </w:rPr>
            </w:pPr>
            <w:r>
              <w:rPr>
                <w:rFonts w:ascii="Verdana"/>
                <w:sz w:val="13"/>
              </w:rPr>
              <w:t>DIRECTOR</w:t>
            </w:r>
          </w:p>
          <w:p w:rsidR="00EF2F62" w:rsidRDefault="009607D3">
            <w:pPr>
              <w:pStyle w:val="TableParagraph"/>
              <w:spacing w:before="6" w:line="276" w:lineRule="auto"/>
              <w:ind w:left="200"/>
              <w:rPr>
                <w:rFonts w:ascii="Verdana"/>
                <w:sz w:val="13"/>
              </w:rPr>
            </w:pPr>
            <w:r>
              <w:rPr>
                <w:rFonts w:ascii="Verdana"/>
                <w:sz w:val="13"/>
              </w:rPr>
              <w:t xml:space="preserve">OC HOUSING </w:t>
            </w:r>
            <w:r>
              <w:rPr>
                <w:rFonts w:ascii="Verdana"/>
                <w:sz w:val="16"/>
              </w:rPr>
              <w:t xml:space="preserve">&amp; </w:t>
            </w:r>
            <w:r>
              <w:rPr>
                <w:rFonts w:ascii="Verdana"/>
                <w:sz w:val="13"/>
              </w:rPr>
              <w:t>HOMELESS SERVICES</w:t>
            </w:r>
          </w:p>
          <w:p w:rsidR="00EF2F62" w:rsidRDefault="00EF2F62">
            <w:pPr>
              <w:pStyle w:val="TableParagraph"/>
              <w:spacing w:before="1"/>
              <w:rPr>
                <w:rFonts w:ascii="Times New Roman"/>
                <w:sz w:val="18"/>
              </w:rPr>
            </w:pPr>
          </w:p>
          <w:p w:rsidR="00EF2F62" w:rsidRDefault="009607D3">
            <w:pPr>
              <w:pStyle w:val="TableParagraph"/>
              <w:ind w:left="200"/>
              <w:rPr>
                <w:rFonts w:ascii="Verdana"/>
                <w:b/>
                <w:sz w:val="13"/>
              </w:rPr>
            </w:pPr>
            <w:r>
              <w:rPr>
                <w:rFonts w:ascii="Verdana"/>
                <w:b/>
                <w:sz w:val="13"/>
              </w:rPr>
              <w:t>RENEE RAMIREZ</w:t>
            </w:r>
          </w:p>
          <w:p w:rsidR="00EF2F62" w:rsidRDefault="009607D3">
            <w:pPr>
              <w:pStyle w:val="TableParagraph"/>
              <w:spacing w:before="37"/>
              <w:ind w:left="200"/>
              <w:rPr>
                <w:rFonts w:ascii="Verdana"/>
                <w:sz w:val="13"/>
              </w:rPr>
            </w:pPr>
            <w:r>
              <w:rPr>
                <w:rFonts w:ascii="Verdana"/>
                <w:sz w:val="13"/>
              </w:rPr>
              <w:t>DIRECTOR</w:t>
            </w:r>
          </w:p>
          <w:p w:rsidR="00EF2F62" w:rsidRDefault="009607D3">
            <w:pPr>
              <w:pStyle w:val="TableParagraph"/>
              <w:spacing w:before="36"/>
              <w:ind w:left="200"/>
              <w:rPr>
                <w:rFonts w:ascii="Verdana"/>
                <w:sz w:val="13"/>
              </w:rPr>
            </w:pPr>
            <w:r>
              <w:rPr>
                <w:rFonts w:ascii="Verdana"/>
                <w:sz w:val="13"/>
              </w:rPr>
              <w:t>OC COMMUNITY SERVICES</w:t>
            </w:r>
          </w:p>
          <w:p w:rsidR="00EF2F62" w:rsidRDefault="00EF2F62">
            <w:pPr>
              <w:pStyle w:val="TableParagraph"/>
              <w:spacing w:before="3"/>
              <w:rPr>
                <w:rFonts w:ascii="Times New Roman"/>
                <w:sz w:val="20"/>
              </w:rPr>
            </w:pPr>
          </w:p>
          <w:p w:rsidR="00EF2F62" w:rsidRDefault="009607D3">
            <w:pPr>
              <w:pStyle w:val="TableParagraph"/>
              <w:ind w:left="200"/>
              <w:rPr>
                <w:rFonts w:ascii="Verdana"/>
                <w:b/>
                <w:sz w:val="13"/>
              </w:rPr>
            </w:pPr>
            <w:r>
              <w:rPr>
                <w:rFonts w:ascii="Verdana"/>
                <w:b/>
                <w:sz w:val="13"/>
              </w:rPr>
              <w:t>STACY BLACKWOOD</w:t>
            </w:r>
          </w:p>
          <w:p w:rsidR="00EF2F62" w:rsidRDefault="009607D3">
            <w:pPr>
              <w:pStyle w:val="TableParagraph"/>
              <w:spacing w:before="37" w:line="295" w:lineRule="auto"/>
              <w:ind w:left="200" w:right="1568"/>
              <w:rPr>
                <w:rFonts w:ascii="Verdana"/>
                <w:sz w:val="13"/>
              </w:rPr>
            </w:pPr>
            <w:r>
              <w:rPr>
                <w:rFonts w:ascii="Verdana"/>
                <w:sz w:val="13"/>
              </w:rPr>
              <w:t>DIRECTOR OC PARKS</w:t>
            </w:r>
          </w:p>
          <w:p w:rsidR="00EF2F62" w:rsidRDefault="00EF2F62">
            <w:pPr>
              <w:pStyle w:val="TableParagraph"/>
              <w:spacing w:before="10"/>
              <w:rPr>
                <w:rFonts w:ascii="Times New Roman"/>
                <w:sz w:val="16"/>
              </w:rPr>
            </w:pPr>
          </w:p>
          <w:p w:rsidR="00EF2F62" w:rsidRDefault="009607D3">
            <w:pPr>
              <w:pStyle w:val="TableParagraph"/>
              <w:ind w:left="200"/>
              <w:rPr>
                <w:rFonts w:ascii="Verdana"/>
                <w:b/>
                <w:sz w:val="13"/>
              </w:rPr>
            </w:pPr>
            <w:r>
              <w:rPr>
                <w:rFonts w:ascii="Verdana"/>
                <w:b/>
                <w:sz w:val="13"/>
              </w:rPr>
              <w:t>SHERRY TOTH</w:t>
            </w:r>
          </w:p>
          <w:p w:rsidR="00EF2F62" w:rsidRDefault="009607D3">
            <w:pPr>
              <w:pStyle w:val="TableParagraph"/>
              <w:spacing w:before="37" w:line="295" w:lineRule="auto"/>
              <w:ind w:left="200" w:right="383"/>
              <w:rPr>
                <w:rFonts w:ascii="Verdana"/>
                <w:sz w:val="13"/>
              </w:rPr>
            </w:pPr>
            <w:r>
              <w:rPr>
                <w:rFonts w:ascii="Verdana"/>
                <w:sz w:val="13"/>
              </w:rPr>
              <w:t>ACTING COUNTY LIBRARIAN OC PUBLIC LIBRARIES</w:t>
            </w:r>
          </w:p>
          <w:p w:rsidR="00EF2F62" w:rsidRDefault="00EF2F62">
            <w:pPr>
              <w:pStyle w:val="TableParagraph"/>
              <w:rPr>
                <w:rFonts w:ascii="Times New Roman"/>
                <w:sz w:val="20"/>
              </w:rPr>
            </w:pPr>
          </w:p>
          <w:p w:rsidR="00EF2F62" w:rsidRDefault="00EF2F62">
            <w:pPr>
              <w:pStyle w:val="TableParagraph"/>
              <w:rPr>
                <w:rFonts w:ascii="Times New Roman"/>
                <w:sz w:val="20"/>
              </w:rPr>
            </w:pPr>
          </w:p>
          <w:p w:rsidR="00EF2F62" w:rsidRDefault="00EF2F62">
            <w:pPr>
              <w:pStyle w:val="TableParagraph"/>
              <w:rPr>
                <w:rFonts w:ascii="Times New Roman"/>
                <w:sz w:val="20"/>
              </w:rPr>
            </w:pPr>
          </w:p>
          <w:p w:rsidR="00EF2F62" w:rsidRDefault="00EF2F62">
            <w:pPr>
              <w:pStyle w:val="TableParagraph"/>
              <w:rPr>
                <w:rFonts w:ascii="Times New Roman"/>
                <w:sz w:val="20"/>
              </w:rPr>
            </w:pPr>
          </w:p>
          <w:p w:rsidR="00EF2F62" w:rsidRDefault="00EF2F62">
            <w:pPr>
              <w:pStyle w:val="TableParagraph"/>
              <w:rPr>
                <w:rFonts w:ascii="Times New Roman"/>
                <w:sz w:val="20"/>
              </w:rPr>
            </w:pPr>
          </w:p>
          <w:p w:rsidR="00EF2F62" w:rsidRDefault="00EF2F62">
            <w:pPr>
              <w:pStyle w:val="TableParagraph"/>
              <w:rPr>
                <w:rFonts w:ascii="Times New Roman"/>
                <w:sz w:val="20"/>
              </w:rPr>
            </w:pPr>
          </w:p>
          <w:p w:rsidR="00EF2F62" w:rsidRDefault="00EF2F62">
            <w:pPr>
              <w:pStyle w:val="TableParagraph"/>
              <w:rPr>
                <w:rFonts w:ascii="Times New Roman"/>
                <w:sz w:val="20"/>
              </w:rPr>
            </w:pPr>
          </w:p>
          <w:p w:rsidR="00EF2F62" w:rsidRDefault="00EF2F62">
            <w:pPr>
              <w:pStyle w:val="TableParagraph"/>
              <w:rPr>
                <w:rFonts w:ascii="Times New Roman"/>
                <w:sz w:val="20"/>
              </w:rPr>
            </w:pPr>
          </w:p>
          <w:p w:rsidR="00EF2F62" w:rsidRDefault="00EF2F62">
            <w:pPr>
              <w:pStyle w:val="TableParagraph"/>
              <w:rPr>
                <w:rFonts w:ascii="Times New Roman"/>
                <w:sz w:val="20"/>
              </w:rPr>
            </w:pPr>
          </w:p>
          <w:p w:rsidR="00EF2F62" w:rsidRDefault="00EF2F62">
            <w:pPr>
              <w:pStyle w:val="TableParagraph"/>
              <w:rPr>
                <w:rFonts w:ascii="Times New Roman"/>
                <w:sz w:val="20"/>
              </w:rPr>
            </w:pPr>
          </w:p>
          <w:p w:rsidR="00EF2F62" w:rsidRDefault="00EF2F62">
            <w:pPr>
              <w:pStyle w:val="TableParagraph"/>
              <w:rPr>
                <w:rFonts w:ascii="Times New Roman"/>
                <w:sz w:val="20"/>
              </w:rPr>
            </w:pPr>
          </w:p>
          <w:p w:rsidR="00EF2F62" w:rsidRDefault="00EF2F62">
            <w:pPr>
              <w:pStyle w:val="TableParagraph"/>
              <w:rPr>
                <w:rFonts w:ascii="Times New Roman"/>
                <w:sz w:val="20"/>
              </w:rPr>
            </w:pPr>
          </w:p>
          <w:p w:rsidR="00EF2F62" w:rsidRDefault="00EF2F62">
            <w:pPr>
              <w:pStyle w:val="TableParagraph"/>
              <w:rPr>
                <w:rFonts w:ascii="Times New Roman"/>
                <w:sz w:val="20"/>
              </w:rPr>
            </w:pPr>
          </w:p>
          <w:p w:rsidR="00EF2F62" w:rsidRDefault="00EF2F62">
            <w:pPr>
              <w:pStyle w:val="TableParagraph"/>
              <w:rPr>
                <w:rFonts w:ascii="Times New Roman"/>
                <w:sz w:val="20"/>
              </w:rPr>
            </w:pPr>
          </w:p>
          <w:p w:rsidR="00EF2F62" w:rsidRDefault="00EF2F62">
            <w:pPr>
              <w:pStyle w:val="TableParagraph"/>
              <w:rPr>
                <w:rFonts w:ascii="Times New Roman"/>
                <w:sz w:val="20"/>
              </w:rPr>
            </w:pPr>
          </w:p>
          <w:p w:rsidR="00EF2F62" w:rsidRDefault="00EF2F62">
            <w:pPr>
              <w:pStyle w:val="TableParagraph"/>
              <w:rPr>
                <w:rFonts w:ascii="Times New Roman"/>
                <w:sz w:val="20"/>
              </w:rPr>
            </w:pPr>
          </w:p>
          <w:p w:rsidR="00EF2F62" w:rsidRDefault="00EF2F62">
            <w:pPr>
              <w:pStyle w:val="TableParagraph"/>
              <w:rPr>
                <w:rFonts w:ascii="Times New Roman"/>
                <w:sz w:val="20"/>
              </w:rPr>
            </w:pPr>
          </w:p>
          <w:p w:rsidR="00EF2F62" w:rsidRDefault="00EF2F62">
            <w:pPr>
              <w:pStyle w:val="TableParagraph"/>
              <w:spacing w:before="3"/>
              <w:rPr>
                <w:rFonts w:ascii="Times New Roman"/>
                <w:sz w:val="25"/>
              </w:rPr>
            </w:pPr>
          </w:p>
          <w:p w:rsidR="00EF2F62" w:rsidRDefault="009607D3">
            <w:pPr>
              <w:pStyle w:val="TableParagraph"/>
              <w:ind w:left="735"/>
              <w:rPr>
                <w:rFonts w:ascii="Times New Roman"/>
                <w:sz w:val="20"/>
              </w:rPr>
            </w:pPr>
            <w:r>
              <w:rPr>
                <w:rFonts w:ascii="Times New Roman"/>
                <w:noProof/>
                <w:sz w:val="20"/>
                <w:lang w:bidi="ar-SA"/>
              </w:rPr>
              <w:drawing>
                <wp:inline distT="0" distB="0" distL="0" distR="0">
                  <wp:extent cx="704088" cy="704088"/>
                  <wp:effectExtent l="0" t="0" r="0" b="0"/>
                  <wp:docPr id="3" name="image2.jpeg" descr="O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704088" cy="704088"/>
                          </a:xfrm>
                          <a:prstGeom prst="rect">
                            <a:avLst/>
                          </a:prstGeom>
                        </pic:spPr>
                      </pic:pic>
                    </a:graphicData>
                  </a:graphic>
                </wp:inline>
              </w:drawing>
            </w:r>
          </w:p>
          <w:p w:rsidR="00EF2F62" w:rsidRDefault="00EF2F62">
            <w:pPr>
              <w:pStyle w:val="TableParagraph"/>
              <w:spacing w:before="10"/>
              <w:rPr>
                <w:rFonts w:ascii="Times New Roman"/>
                <w:sz w:val="19"/>
              </w:rPr>
            </w:pPr>
          </w:p>
          <w:p w:rsidR="00EF2F62" w:rsidRDefault="009607D3">
            <w:pPr>
              <w:pStyle w:val="TableParagraph"/>
              <w:spacing w:before="1" w:line="242" w:lineRule="auto"/>
              <w:ind w:left="224" w:right="122" w:hanging="1"/>
              <w:jc w:val="center"/>
              <w:rPr>
                <w:rFonts w:ascii="Verdana"/>
                <w:sz w:val="16"/>
              </w:rPr>
            </w:pPr>
            <w:r>
              <w:rPr>
                <w:rFonts w:ascii="Verdana"/>
                <w:sz w:val="13"/>
              </w:rPr>
              <w:t xml:space="preserve">OFFICE OF THE DIRECTOR </w:t>
            </w:r>
            <w:r>
              <w:rPr>
                <w:rFonts w:ascii="Verdana"/>
                <w:sz w:val="16"/>
              </w:rPr>
              <w:t xml:space="preserve">1770 </w:t>
            </w:r>
            <w:r>
              <w:rPr>
                <w:rFonts w:ascii="Verdana"/>
                <w:sz w:val="13"/>
              </w:rPr>
              <w:t>NORTH BROADWAY SANTA ANA</w:t>
            </w:r>
            <w:r>
              <w:rPr>
                <w:rFonts w:ascii="Verdana"/>
                <w:sz w:val="16"/>
              </w:rPr>
              <w:t xml:space="preserve">, </w:t>
            </w:r>
            <w:r>
              <w:rPr>
                <w:rFonts w:ascii="Verdana"/>
                <w:sz w:val="13"/>
              </w:rPr>
              <w:t xml:space="preserve">CA </w:t>
            </w:r>
            <w:r>
              <w:rPr>
                <w:rFonts w:ascii="Verdana"/>
                <w:sz w:val="16"/>
              </w:rPr>
              <w:t xml:space="preserve">92706-2642 </w:t>
            </w:r>
            <w:r>
              <w:rPr>
                <w:rFonts w:ascii="Verdana"/>
                <w:sz w:val="13"/>
              </w:rPr>
              <w:t>PHONE</w:t>
            </w:r>
            <w:r>
              <w:rPr>
                <w:rFonts w:ascii="Verdana"/>
                <w:sz w:val="16"/>
              </w:rPr>
              <w:t>: 714.480.2788</w:t>
            </w:r>
          </w:p>
          <w:p w:rsidR="00EF2F62" w:rsidRDefault="009607D3">
            <w:pPr>
              <w:pStyle w:val="TableParagraph"/>
              <w:spacing w:line="193" w:lineRule="exact"/>
              <w:ind w:left="512" w:right="411"/>
              <w:jc w:val="center"/>
              <w:rPr>
                <w:rFonts w:ascii="Verdana"/>
                <w:sz w:val="16"/>
              </w:rPr>
            </w:pPr>
            <w:r>
              <w:rPr>
                <w:rFonts w:ascii="Verdana"/>
                <w:sz w:val="13"/>
              </w:rPr>
              <w:t>FAX</w:t>
            </w:r>
            <w:r>
              <w:rPr>
                <w:rFonts w:ascii="Verdana"/>
                <w:sz w:val="16"/>
              </w:rPr>
              <w:t>: 714.480.2899</w:t>
            </w:r>
          </w:p>
        </w:tc>
        <w:tc>
          <w:tcPr>
            <w:tcW w:w="7727" w:type="dxa"/>
            <w:tcBorders>
              <w:left w:val="single" w:sz="6" w:space="0" w:color="99CCFF"/>
            </w:tcBorders>
          </w:tcPr>
          <w:p w:rsidR="00EF2F62" w:rsidRDefault="00EF2F62">
            <w:pPr>
              <w:pStyle w:val="TableParagraph"/>
              <w:rPr>
                <w:rFonts w:ascii="Times New Roman"/>
                <w:sz w:val="26"/>
              </w:rPr>
            </w:pPr>
          </w:p>
          <w:p w:rsidR="00EF2F62" w:rsidRDefault="00EF2F62">
            <w:pPr>
              <w:pStyle w:val="TableParagraph"/>
              <w:rPr>
                <w:rFonts w:ascii="Times New Roman"/>
              </w:rPr>
            </w:pPr>
          </w:p>
          <w:p w:rsidR="00EF2F62" w:rsidRDefault="009607D3">
            <w:pPr>
              <w:pStyle w:val="TableParagraph"/>
              <w:ind w:left="2553"/>
              <w:rPr>
                <w:b/>
                <w:sz w:val="24"/>
              </w:rPr>
            </w:pPr>
            <w:r>
              <w:rPr>
                <w:b/>
                <w:sz w:val="24"/>
              </w:rPr>
              <w:t>Resolution No. 19-058</w:t>
            </w:r>
            <w:bookmarkStart w:id="0" w:name="_GoBack"/>
            <w:bookmarkEnd w:id="0"/>
          </w:p>
          <w:p w:rsidR="00EF2F62" w:rsidRDefault="009607D3">
            <w:pPr>
              <w:pStyle w:val="TableParagraph"/>
              <w:spacing w:line="480" w:lineRule="auto"/>
              <w:ind w:left="771" w:right="874"/>
              <w:jc w:val="center"/>
              <w:rPr>
                <w:b/>
                <w:sz w:val="24"/>
              </w:rPr>
            </w:pPr>
            <w:r>
              <w:rPr>
                <w:b/>
                <w:sz w:val="24"/>
              </w:rPr>
              <w:t>OC Community Resources, County of Orange AUTHORIZING RESOLUTION</w:t>
            </w:r>
          </w:p>
          <w:p w:rsidR="00EF2F62" w:rsidRDefault="009607D3">
            <w:pPr>
              <w:pStyle w:val="TableParagraph"/>
              <w:ind w:left="775" w:right="874"/>
              <w:jc w:val="center"/>
              <w:rPr>
                <w:b/>
                <w:sz w:val="24"/>
              </w:rPr>
            </w:pPr>
            <w:r>
              <w:rPr>
                <w:b/>
                <w:sz w:val="24"/>
              </w:rPr>
              <w:t>RESOLUTION OF THE BOARD OF SUPERVISORS OF ORANGE COUNTY, CALIFORNIA</w:t>
            </w:r>
          </w:p>
          <w:p w:rsidR="00EF2F62" w:rsidRDefault="009607D3">
            <w:pPr>
              <w:pStyle w:val="TableParagraph"/>
              <w:ind w:left="775" w:right="874"/>
              <w:jc w:val="center"/>
              <w:rPr>
                <w:b/>
                <w:sz w:val="24"/>
              </w:rPr>
            </w:pPr>
            <w:r>
              <w:rPr>
                <w:b/>
                <w:sz w:val="24"/>
              </w:rPr>
              <w:t>June 25, 2019</w:t>
            </w:r>
          </w:p>
          <w:p w:rsidR="00EF2F62" w:rsidRDefault="00EF2F62">
            <w:pPr>
              <w:pStyle w:val="TableParagraph"/>
              <w:rPr>
                <w:rFonts w:ascii="Times New Roman"/>
                <w:sz w:val="26"/>
              </w:rPr>
            </w:pPr>
          </w:p>
          <w:p w:rsidR="00EF2F62" w:rsidRDefault="00EF2F62">
            <w:pPr>
              <w:pStyle w:val="TableParagraph"/>
              <w:rPr>
                <w:rFonts w:ascii="Times New Roman"/>
              </w:rPr>
            </w:pPr>
          </w:p>
          <w:p w:rsidR="00EF2F62" w:rsidRDefault="009607D3">
            <w:pPr>
              <w:pStyle w:val="TableParagraph"/>
              <w:ind w:left="100" w:right="199"/>
              <w:jc w:val="both"/>
              <w:rPr>
                <w:sz w:val="24"/>
              </w:rPr>
            </w:pPr>
            <w:r>
              <w:rPr>
                <w:sz w:val="24"/>
              </w:rPr>
              <w:t>A majority of the Board of Supervisors of the County of Orange (“Applicant”) hereby consent to, adopt and ratify the following resolutions:</w:t>
            </w:r>
          </w:p>
          <w:p w:rsidR="00EF2F62" w:rsidRDefault="00EF2F62">
            <w:pPr>
              <w:pStyle w:val="TableParagraph"/>
              <w:spacing w:before="9"/>
              <w:rPr>
                <w:rFonts w:ascii="Times New Roman"/>
                <w:sz w:val="23"/>
              </w:rPr>
            </w:pPr>
          </w:p>
          <w:p w:rsidR="00EF2F62" w:rsidRDefault="009607D3">
            <w:pPr>
              <w:pStyle w:val="TableParagraph"/>
              <w:numPr>
                <w:ilvl w:val="0"/>
                <w:numId w:val="1"/>
              </w:numPr>
              <w:tabs>
                <w:tab w:val="left" w:pos="821"/>
              </w:tabs>
              <w:spacing w:before="1"/>
              <w:ind w:right="198" w:firstLine="0"/>
              <w:jc w:val="both"/>
              <w:rPr>
                <w:sz w:val="24"/>
              </w:rPr>
            </w:pPr>
            <w:r>
              <w:rPr>
                <w:sz w:val="24"/>
              </w:rPr>
              <w:t>WHEREAS the State of California (the “State”), Department of Housing</w:t>
            </w:r>
            <w:r>
              <w:rPr>
                <w:spacing w:val="-11"/>
                <w:sz w:val="24"/>
              </w:rPr>
              <w:t xml:space="preserve"> </w:t>
            </w:r>
            <w:r>
              <w:rPr>
                <w:sz w:val="24"/>
              </w:rPr>
              <w:t>and</w:t>
            </w:r>
            <w:r>
              <w:rPr>
                <w:spacing w:val="-9"/>
                <w:sz w:val="24"/>
              </w:rPr>
              <w:t xml:space="preserve"> </w:t>
            </w:r>
            <w:r>
              <w:rPr>
                <w:sz w:val="24"/>
              </w:rPr>
              <w:t>Community</w:t>
            </w:r>
            <w:r>
              <w:rPr>
                <w:spacing w:val="-12"/>
                <w:sz w:val="24"/>
              </w:rPr>
              <w:t xml:space="preserve"> </w:t>
            </w:r>
            <w:r>
              <w:rPr>
                <w:sz w:val="24"/>
              </w:rPr>
              <w:t>Development</w:t>
            </w:r>
            <w:r>
              <w:rPr>
                <w:spacing w:val="-9"/>
                <w:sz w:val="24"/>
              </w:rPr>
              <w:t xml:space="preserve"> </w:t>
            </w:r>
            <w:r>
              <w:rPr>
                <w:sz w:val="24"/>
              </w:rPr>
              <w:t>(“Department”)</w:t>
            </w:r>
            <w:r>
              <w:rPr>
                <w:spacing w:val="-10"/>
                <w:sz w:val="24"/>
              </w:rPr>
              <w:t xml:space="preserve"> </w:t>
            </w:r>
            <w:r>
              <w:rPr>
                <w:sz w:val="24"/>
              </w:rPr>
              <w:t>issue</w:t>
            </w:r>
            <w:r>
              <w:rPr>
                <w:sz w:val="24"/>
              </w:rPr>
              <w:t>d</w:t>
            </w:r>
            <w:r>
              <w:rPr>
                <w:spacing w:val="-11"/>
                <w:sz w:val="24"/>
              </w:rPr>
              <w:t xml:space="preserve"> </w:t>
            </w:r>
            <w:r>
              <w:rPr>
                <w:sz w:val="24"/>
              </w:rPr>
              <w:t>a</w:t>
            </w:r>
            <w:r>
              <w:rPr>
                <w:spacing w:val="-9"/>
                <w:sz w:val="24"/>
              </w:rPr>
              <w:t xml:space="preserve"> </w:t>
            </w:r>
            <w:r>
              <w:rPr>
                <w:sz w:val="24"/>
              </w:rPr>
              <w:t xml:space="preserve">Notice of Funding Availability (“NOFA”) for the Continuum of Care Allocation dated </w:t>
            </w:r>
            <w:r>
              <w:rPr>
                <w:b/>
                <w:sz w:val="24"/>
              </w:rPr>
              <w:t xml:space="preserve">June 8, 2018 </w:t>
            </w:r>
            <w:r>
              <w:rPr>
                <w:sz w:val="24"/>
              </w:rPr>
              <w:t>under the Emergency Solutions Grants (ESG) Program (Program, or ESG Program);</w:t>
            </w:r>
            <w:r>
              <w:rPr>
                <w:spacing w:val="-3"/>
                <w:sz w:val="24"/>
              </w:rPr>
              <w:t xml:space="preserve"> </w:t>
            </w:r>
            <w:r>
              <w:rPr>
                <w:sz w:val="24"/>
              </w:rPr>
              <w:t>and</w:t>
            </w:r>
          </w:p>
          <w:p w:rsidR="00EF2F62" w:rsidRDefault="00EF2F62">
            <w:pPr>
              <w:pStyle w:val="TableParagraph"/>
              <w:rPr>
                <w:rFonts w:ascii="Times New Roman"/>
                <w:sz w:val="24"/>
              </w:rPr>
            </w:pPr>
          </w:p>
          <w:p w:rsidR="00EF2F62" w:rsidRDefault="009607D3">
            <w:pPr>
              <w:pStyle w:val="TableParagraph"/>
              <w:numPr>
                <w:ilvl w:val="0"/>
                <w:numId w:val="1"/>
              </w:numPr>
              <w:tabs>
                <w:tab w:val="left" w:pos="821"/>
              </w:tabs>
              <w:ind w:right="199" w:firstLine="0"/>
              <w:jc w:val="both"/>
              <w:rPr>
                <w:sz w:val="24"/>
              </w:rPr>
            </w:pPr>
            <w:r>
              <w:rPr>
                <w:sz w:val="24"/>
              </w:rPr>
              <w:t>WHEREAS Applicant is an approved state ESG Administrative Entity</w:t>
            </w:r>
          </w:p>
          <w:p w:rsidR="00EF2F62" w:rsidRDefault="00EF2F62">
            <w:pPr>
              <w:pStyle w:val="TableParagraph"/>
              <w:rPr>
                <w:rFonts w:ascii="Times New Roman"/>
                <w:sz w:val="24"/>
              </w:rPr>
            </w:pPr>
          </w:p>
          <w:p w:rsidR="00EF2F62" w:rsidRDefault="009607D3">
            <w:pPr>
              <w:pStyle w:val="TableParagraph"/>
              <w:numPr>
                <w:ilvl w:val="0"/>
                <w:numId w:val="1"/>
              </w:numPr>
              <w:tabs>
                <w:tab w:val="left" w:pos="821"/>
              </w:tabs>
              <w:ind w:right="198" w:firstLine="0"/>
              <w:jc w:val="both"/>
              <w:rPr>
                <w:sz w:val="24"/>
              </w:rPr>
            </w:pPr>
            <w:r>
              <w:rPr>
                <w:sz w:val="24"/>
              </w:rPr>
              <w:t>WHEREAS</w:t>
            </w:r>
            <w:r>
              <w:rPr>
                <w:spacing w:val="-17"/>
                <w:sz w:val="24"/>
              </w:rPr>
              <w:t xml:space="preserve"> </w:t>
            </w:r>
            <w:r>
              <w:rPr>
                <w:sz w:val="24"/>
              </w:rPr>
              <w:t>the</w:t>
            </w:r>
            <w:r>
              <w:rPr>
                <w:spacing w:val="-16"/>
                <w:sz w:val="24"/>
              </w:rPr>
              <w:t xml:space="preserve"> </w:t>
            </w:r>
            <w:r>
              <w:rPr>
                <w:sz w:val="24"/>
              </w:rPr>
              <w:t>Department</w:t>
            </w:r>
            <w:r>
              <w:rPr>
                <w:spacing w:val="-17"/>
                <w:sz w:val="24"/>
              </w:rPr>
              <w:t xml:space="preserve"> </w:t>
            </w:r>
            <w:r>
              <w:rPr>
                <w:sz w:val="24"/>
              </w:rPr>
              <w:t>may</w:t>
            </w:r>
            <w:r>
              <w:rPr>
                <w:spacing w:val="-20"/>
                <w:sz w:val="24"/>
              </w:rPr>
              <w:t xml:space="preserve"> </w:t>
            </w:r>
            <w:r>
              <w:rPr>
                <w:sz w:val="24"/>
              </w:rPr>
              <w:t>approve</w:t>
            </w:r>
            <w:r>
              <w:rPr>
                <w:spacing w:val="-16"/>
                <w:sz w:val="24"/>
              </w:rPr>
              <w:t xml:space="preserve"> </w:t>
            </w:r>
            <w:r>
              <w:rPr>
                <w:sz w:val="24"/>
              </w:rPr>
              <w:t>funding</w:t>
            </w:r>
            <w:r>
              <w:rPr>
                <w:spacing w:val="-19"/>
                <w:sz w:val="24"/>
              </w:rPr>
              <w:t xml:space="preserve"> </w:t>
            </w:r>
            <w:r>
              <w:rPr>
                <w:sz w:val="24"/>
              </w:rPr>
              <w:t>allocations</w:t>
            </w:r>
            <w:r>
              <w:rPr>
                <w:spacing w:val="-20"/>
                <w:sz w:val="24"/>
              </w:rPr>
              <w:t xml:space="preserve"> </w:t>
            </w:r>
            <w:r>
              <w:rPr>
                <w:sz w:val="24"/>
              </w:rPr>
              <w:t>for the ESG Program, subject to the terms and conditions of the NOFA, Program regulations and requirements, and the Standard Agreement and other contracts between Department and ESG grant</w:t>
            </w:r>
            <w:r>
              <w:rPr>
                <w:spacing w:val="-18"/>
                <w:sz w:val="24"/>
              </w:rPr>
              <w:t xml:space="preserve"> </w:t>
            </w:r>
            <w:r>
              <w:rPr>
                <w:sz w:val="24"/>
              </w:rPr>
              <w:t>recipients;</w:t>
            </w:r>
          </w:p>
          <w:p w:rsidR="00EF2F62" w:rsidRDefault="00EF2F62">
            <w:pPr>
              <w:pStyle w:val="TableParagraph"/>
              <w:rPr>
                <w:rFonts w:ascii="Times New Roman"/>
                <w:sz w:val="24"/>
              </w:rPr>
            </w:pPr>
          </w:p>
          <w:p w:rsidR="00EF2F62" w:rsidRDefault="009607D3">
            <w:pPr>
              <w:pStyle w:val="TableParagraph"/>
              <w:ind w:left="100"/>
              <w:jc w:val="both"/>
              <w:rPr>
                <w:sz w:val="24"/>
              </w:rPr>
            </w:pPr>
            <w:r>
              <w:rPr>
                <w:sz w:val="24"/>
              </w:rPr>
              <w:t>NOW THEREFORE BE IT RESOLVED THAT:</w:t>
            </w:r>
          </w:p>
          <w:p w:rsidR="00EF2F62" w:rsidRDefault="00EF2F62">
            <w:pPr>
              <w:pStyle w:val="TableParagraph"/>
              <w:rPr>
                <w:rFonts w:ascii="Times New Roman"/>
                <w:sz w:val="24"/>
              </w:rPr>
            </w:pPr>
          </w:p>
          <w:p w:rsidR="00EF2F62" w:rsidRDefault="009607D3">
            <w:pPr>
              <w:pStyle w:val="TableParagraph"/>
              <w:numPr>
                <w:ilvl w:val="1"/>
                <w:numId w:val="1"/>
              </w:numPr>
              <w:tabs>
                <w:tab w:val="left" w:pos="821"/>
              </w:tabs>
              <w:ind w:right="197" w:firstLine="0"/>
              <w:jc w:val="both"/>
              <w:rPr>
                <w:sz w:val="24"/>
              </w:rPr>
            </w:pPr>
            <w:r>
              <w:rPr>
                <w:sz w:val="24"/>
              </w:rPr>
              <w:t>If</w:t>
            </w:r>
            <w:r>
              <w:rPr>
                <w:spacing w:val="-5"/>
                <w:sz w:val="24"/>
              </w:rPr>
              <w:t xml:space="preserve"> </w:t>
            </w:r>
            <w:r>
              <w:rPr>
                <w:sz w:val="24"/>
              </w:rPr>
              <w:t>Applicant</w:t>
            </w:r>
            <w:r>
              <w:rPr>
                <w:spacing w:val="-7"/>
                <w:sz w:val="24"/>
              </w:rPr>
              <w:t xml:space="preserve"> </w:t>
            </w:r>
            <w:r>
              <w:rPr>
                <w:sz w:val="24"/>
              </w:rPr>
              <w:t>receives</w:t>
            </w:r>
            <w:r>
              <w:rPr>
                <w:spacing w:val="-5"/>
                <w:sz w:val="24"/>
              </w:rPr>
              <w:t xml:space="preserve"> </w:t>
            </w:r>
            <w:r>
              <w:rPr>
                <w:sz w:val="24"/>
              </w:rPr>
              <w:t>a</w:t>
            </w:r>
            <w:r>
              <w:rPr>
                <w:spacing w:val="-7"/>
                <w:sz w:val="24"/>
              </w:rPr>
              <w:t xml:space="preserve"> </w:t>
            </w:r>
            <w:r>
              <w:rPr>
                <w:sz w:val="24"/>
              </w:rPr>
              <w:t>grant</w:t>
            </w:r>
            <w:r>
              <w:rPr>
                <w:spacing w:val="-5"/>
                <w:sz w:val="24"/>
              </w:rPr>
              <w:t xml:space="preserve"> </w:t>
            </w:r>
            <w:r>
              <w:rPr>
                <w:sz w:val="24"/>
              </w:rPr>
              <w:t>of</w:t>
            </w:r>
            <w:r>
              <w:rPr>
                <w:spacing w:val="-5"/>
                <w:sz w:val="24"/>
              </w:rPr>
              <w:t xml:space="preserve"> </w:t>
            </w:r>
            <w:r>
              <w:rPr>
                <w:sz w:val="24"/>
              </w:rPr>
              <w:t>ESG</w:t>
            </w:r>
            <w:r>
              <w:rPr>
                <w:spacing w:val="-10"/>
                <w:sz w:val="24"/>
              </w:rPr>
              <w:t xml:space="preserve"> </w:t>
            </w:r>
            <w:r>
              <w:rPr>
                <w:sz w:val="24"/>
              </w:rPr>
              <w:t>funds</w:t>
            </w:r>
            <w:r>
              <w:rPr>
                <w:spacing w:val="-8"/>
                <w:sz w:val="24"/>
              </w:rPr>
              <w:t xml:space="preserve"> </w:t>
            </w:r>
            <w:r>
              <w:rPr>
                <w:sz w:val="24"/>
              </w:rPr>
              <w:t>from</w:t>
            </w:r>
            <w:r>
              <w:rPr>
                <w:spacing w:val="-4"/>
                <w:sz w:val="24"/>
              </w:rPr>
              <w:t xml:space="preserve"> </w:t>
            </w:r>
            <w:r>
              <w:rPr>
                <w:sz w:val="24"/>
              </w:rPr>
              <w:t>the</w:t>
            </w:r>
            <w:r>
              <w:rPr>
                <w:spacing w:val="-4"/>
                <w:sz w:val="24"/>
              </w:rPr>
              <w:t xml:space="preserve"> </w:t>
            </w:r>
            <w:r>
              <w:rPr>
                <w:sz w:val="24"/>
              </w:rPr>
              <w:t>Department pursuant to the above referenced ESG NOFA, it represents and certifies that it will use all such funds in a manner consistent and in compliance with all appl</w:t>
            </w:r>
            <w:r>
              <w:rPr>
                <w:sz w:val="24"/>
              </w:rPr>
              <w:t>icable state and federal statutes, rules, regulations, and laws, including without limitation all rules and laws regarding</w:t>
            </w:r>
            <w:r>
              <w:rPr>
                <w:spacing w:val="-11"/>
                <w:sz w:val="24"/>
              </w:rPr>
              <w:t xml:space="preserve"> </w:t>
            </w:r>
            <w:r>
              <w:rPr>
                <w:sz w:val="24"/>
              </w:rPr>
              <w:t>the</w:t>
            </w:r>
            <w:r>
              <w:rPr>
                <w:spacing w:val="-8"/>
                <w:sz w:val="24"/>
              </w:rPr>
              <w:t xml:space="preserve"> </w:t>
            </w:r>
            <w:r>
              <w:rPr>
                <w:sz w:val="24"/>
              </w:rPr>
              <w:t>ESG</w:t>
            </w:r>
            <w:r>
              <w:rPr>
                <w:spacing w:val="-9"/>
                <w:sz w:val="24"/>
              </w:rPr>
              <w:t xml:space="preserve"> </w:t>
            </w:r>
            <w:r>
              <w:rPr>
                <w:sz w:val="24"/>
              </w:rPr>
              <w:t>Program,</w:t>
            </w:r>
            <w:r>
              <w:rPr>
                <w:spacing w:val="-9"/>
                <w:sz w:val="24"/>
              </w:rPr>
              <w:t xml:space="preserve"> </w:t>
            </w:r>
            <w:r>
              <w:rPr>
                <w:sz w:val="24"/>
              </w:rPr>
              <w:t>as</w:t>
            </w:r>
            <w:r>
              <w:rPr>
                <w:spacing w:val="-9"/>
                <w:sz w:val="24"/>
              </w:rPr>
              <w:t xml:space="preserve"> </w:t>
            </w:r>
            <w:r>
              <w:rPr>
                <w:sz w:val="24"/>
              </w:rPr>
              <w:t>well</w:t>
            </w:r>
            <w:r>
              <w:rPr>
                <w:spacing w:val="-10"/>
                <w:sz w:val="24"/>
              </w:rPr>
              <w:t xml:space="preserve"> </w:t>
            </w:r>
            <w:r>
              <w:rPr>
                <w:sz w:val="24"/>
              </w:rPr>
              <w:t>as</w:t>
            </w:r>
            <w:r>
              <w:rPr>
                <w:spacing w:val="-9"/>
                <w:sz w:val="24"/>
              </w:rPr>
              <w:t xml:space="preserve"> </w:t>
            </w:r>
            <w:r>
              <w:rPr>
                <w:sz w:val="24"/>
              </w:rPr>
              <w:t>any</w:t>
            </w:r>
            <w:r>
              <w:rPr>
                <w:spacing w:val="-12"/>
                <w:sz w:val="24"/>
              </w:rPr>
              <w:t xml:space="preserve"> </w:t>
            </w:r>
            <w:r>
              <w:rPr>
                <w:sz w:val="24"/>
              </w:rPr>
              <w:t>and</w:t>
            </w:r>
            <w:r>
              <w:rPr>
                <w:spacing w:val="-8"/>
                <w:sz w:val="24"/>
              </w:rPr>
              <w:t xml:space="preserve"> </w:t>
            </w:r>
            <w:r>
              <w:rPr>
                <w:sz w:val="24"/>
              </w:rPr>
              <w:t>all</w:t>
            </w:r>
            <w:r>
              <w:rPr>
                <w:spacing w:val="-10"/>
                <w:sz w:val="24"/>
              </w:rPr>
              <w:t xml:space="preserve"> </w:t>
            </w:r>
            <w:r>
              <w:rPr>
                <w:sz w:val="24"/>
              </w:rPr>
              <w:t>contracts</w:t>
            </w:r>
            <w:r>
              <w:rPr>
                <w:spacing w:val="-9"/>
                <w:sz w:val="24"/>
              </w:rPr>
              <w:t xml:space="preserve"> </w:t>
            </w:r>
            <w:r>
              <w:rPr>
                <w:sz w:val="24"/>
              </w:rPr>
              <w:t>Applicant may have with the Department.</w:t>
            </w:r>
          </w:p>
          <w:p w:rsidR="00EF2F62" w:rsidRDefault="00EF2F62">
            <w:pPr>
              <w:pStyle w:val="TableParagraph"/>
              <w:rPr>
                <w:rFonts w:ascii="Times New Roman"/>
                <w:sz w:val="24"/>
              </w:rPr>
            </w:pPr>
          </w:p>
          <w:p w:rsidR="00EF2F62" w:rsidRDefault="009607D3">
            <w:pPr>
              <w:pStyle w:val="TableParagraph"/>
              <w:numPr>
                <w:ilvl w:val="1"/>
                <w:numId w:val="1"/>
              </w:numPr>
              <w:tabs>
                <w:tab w:val="left" w:pos="821"/>
              </w:tabs>
              <w:ind w:right="198" w:firstLine="0"/>
              <w:jc w:val="both"/>
              <w:rPr>
                <w:sz w:val="24"/>
              </w:rPr>
            </w:pPr>
            <w:r>
              <w:rPr>
                <w:sz w:val="24"/>
              </w:rPr>
              <w:t>Applicant is hereby authorized and directe</w:t>
            </w:r>
            <w:r>
              <w:rPr>
                <w:sz w:val="24"/>
              </w:rPr>
              <w:t xml:space="preserve">d to receive an ESG grant, in an amount not to exceed </w:t>
            </w:r>
            <w:r>
              <w:rPr>
                <w:b/>
                <w:sz w:val="24"/>
              </w:rPr>
              <w:t xml:space="preserve">$584,187 </w:t>
            </w:r>
            <w:r>
              <w:rPr>
                <w:sz w:val="24"/>
              </w:rPr>
              <w:t>in accordance with all applicable rules and</w:t>
            </w:r>
            <w:r>
              <w:rPr>
                <w:spacing w:val="-3"/>
                <w:sz w:val="24"/>
              </w:rPr>
              <w:t xml:space="preserve"> </w:t>
            </w:r>
            <w:r>
              <w:rPr>
                <w:sz w:val="24"/>
              </w:rPr>
              <w:t>laws.</w:t>
            </w:r>
          </w:p>
          <w:p w:rsidR="00EF2F62" w:rsidRDefault="00EF2F62">
            <w:pPr>
              <w:pStyle w:val="TableParagraph"/>
              <w:rPr>
                <w:rFonts w:ascii="Times New Roman"/>
                <w:sz w:val="24"/>
              </w:rPr>
            </w:pPr>
          </w:p>
          <w:p w:rsidR="00EF2F62" w:rsidRDefault="009607D3">
            <w:pPr>
              <w:pStyle w:val="TableParagraph"/>
              <w:numPr>
                <w:ilvl w:val="1"/>
                <w:numId w:val="1"/>
              </w:numPr>
              <w:tabs>
                <w:tab w:val="left" w:pos="821"/>
              </w:tabs>
              <w:ind w:right="199" w:firstLine="0"/>
              <w:jc w:val="both"/>
              <w:rPr>
                <w:sz w:val="24"/>
              </w:rPr>
            </w:pPr>
            <w:r>
              <w:rPr>
                <w:sz w:val="24"/>
              </w:rPr>
              <w:t>Applicant hereby agrees to use the ESG funds for eligible activities as approved by the Department and in accordance with all Program</w:t>
            </w:r>
            <w:r>
              <w:rPr>
                <w:spacing w:val="56"/>
                <w:sz w:val="24"/>
              </w:rPr>
              <w:t xml:space="preserve"> </w:t>
            </w:r>
            <w:r>
              <w:rPr>
                <w:sz w:val="24"/>
              </w:rPr>
              <w:t>requirements,</w:t>
            </w:r>
            <w:r>
              <w:rPr>
                <w:spacing w:val="55"/>
                <w:sz w:val="24"/>
              </w:rPr>
              <w:t xml:space="preserve"> </w:t>
            </w:r>
            <w:r>
              <w:rPr>
                <w:sz w:val="24"/>
              </w:rPr>
              <w:t>and</w:t>
            </w:r>
            <w:r>
              <w:rPr>
                <w:spacing w:val="53"/>
                <w:sz w:val="24"/>
              </w:rPr>
              <w:t xml:space="preserve"> </w:t>
            </w:r>
            <w:r>
              <w:rPr>
                <w:sz w:val="24"/>
              </w:rPr>
              <w:t>other</w:t>
            </w:r>
            <w:r>
              <w:rPr>
                <w:spacing w:val="53"/>
                <w:sz w:val="24"/>
              </w:rPr>
              <w:t xml:space="preserve"> </w:t>
            </w:r>
            <w:r>
              <w:rPr>
                <w:sz w:val="24"/>
              </w:rPr>
              <w:t>rules</w:t>
            </w:r>
            <w:r>
              <w:rPr>
                <w:spacing w:val="55"/>
                <w:sz w:val="24"/>
              </w:rPr>
              <w:t xml:space="preserve"> </w:t>
            </w:r>
            <w:r>
              <w:rPr>
                <w:sz w:val="24"/>
              </w:rPr>
              <w:t>and</w:t>
            </w:r>
            <w:r>
              <w:rPr>
                <w:spacing w:val="53"/>
                <w:sz w:val="24"/>
              </w:rPr>
              <w:t xml:space="preserve"> </w:t>
            </w:r>
            <w:r>
              <w:rPr>
                <w:sz w:val="24"/>
              </w:rPr>
              <w:t>laws,</w:t>
            </w:r>
            <w:r>
              <w:rPr>
                <w:spacing w:val="55"/>
                <w:sz w:val="24"/>
              </w:rPr>
              <w:t xml:space="preserve"> </w:t>
            </w:r>
            <w:r>
              <w:rPr>
                <w:sz w:val="24"/>
              </w:rPr>
              <w:t>as</w:t>
            </w:r>
            <w:r>
              <w:rPr>
                <w:spacing w:val="56"/>
                <w:sz w:val="24"/>
              </w:rPr>
              <w:t xml:space="preserve"> </w:t>
            </w:r>
            <w:r>
              <w:rPr>
                <w:sz w:val="24"/>
              </w:rPr>
              <w:t>well</w:t>
            </w:r>
            <w:r>
              <w:rPr>
                <w:spacing w:val="53"/>
                <w:sz w:val="24"/>
              </w:rPr>
              <w:t xml:space="preserve"> </w:t>
            </w:r>
            <w:r>
              <w:rPr>
                <w:sz w:val="24"/>
              </w:rPr>
              <w:t>as</w:t>
            </w:r>
            <w:r>
              <w:rPr>
                <w:spacing w:val="55"/>
                <w:sz w:val="24"/>
              </w:rPr>
              <w:t xml:space="preserve"> </w:t>
            </w:r>
            <w:r>
              <w:rPr>
                <w:sz w:val="24"/>
              </w:rPr>
              <w:t>in</w:t>
            </w:r>
            <w:r>
              <w:rPr>
                <w:spacing w:val="55"/>
                <w:sz w:val="24"/>
              </w:rPr>
              <w:t xml:space="preserve"> </w:t>
            </w:r>
            <w:r>
              <w:rPr>
                <w:sz w:val="24"/>
              </w:rPr>
              <w:t>a</w:t>
            </w:r>
          </w:p>
        </w:tc>
      </w:tr>
    </w:tbl>
    <w:p w:rsidR="00EF2F62" w:rsidRDefault="00EF2F62">
      <w:pPr>
        <w:jc w:val="both"/>
        <w:rPr>
          <w:sz w:val="24"/>
        </w:rPr>
        <w:sectPr w:rsidR="00EF2F62">
          <w:footerReference w:type="default" r:id="rId9"/>
          <w:type w:val="continuous"/>
          <w:pgSz w:w="12240" w:h="15840"/>
          <w:pgMar w:top="320" w:right="1140" w:bottom="400" w:left="680" w:header="720" w:footer="211" w:gutter="0"/>
          <w:pgNumType w:start="1"/>
          <w:cols w:space="720"/>
        </w:sectPr>
      </w:pPr>
    </w:p>
    <w:p w:rsidR="00EF2F62" w:rsidRDefault="009607D3">
      <w:pPr>
        <w:pStyle w:val="BodyText"/>
        <w:spacing w:before="72"/>
        <w:ind w:left="2699" w:right="299"/>
        <w:jc w:val="both"/>
      </w:pPr>
      <w:r>
        <w:lastRenderedPageBreak/>
        <w:pict>
          <v:line id="_x0000_s2051" style="position:absolute;left:0;text-align:left;z-index:251658240;mso-position-horizontal-relative:page" from="163.55pt,3.6pt" to="163.55pt,616.3pt" strokecolor="#9cf" strokeweight=".72pt">
            <w10:wrap anchorx="page"/>
          </v:line>
        </w:pict>
      </w:r>
      <w:r>
        <w:t>manner consistent and in compliance with the Standard Agreement and other contracts between the Applicant and the Department.</w:t>
      </w:r>
    </w:p>
    <w:p w:rsidR="00EF2F62" w:rsidRDefault="00EF2F62">
      <w:pPr>
        <w:pStyle w:val="BodyText"/>
      </w:pPr>
    </w:p>
    <w:p w:rsidR="00EF2F62" w:rsidRDefault="009607D3">
      <w:pPr>
        <w:pStyle w:val="BodyText"/>
        <w:ind w:left="2699" w:right="299"/>
        <w:jc w:val="both"/>
      </w:pPr>
      <w:r>
        <w:t>4. The Director of OC Community Resources, or designee is authorized to execute the Standard Agreement and any subsequent amendme</w:t>
      </w:r>
      <w:r>
        <w:t>nts</w:t>
      </w:r>
      <w:r>
        <w:rPr>
          <w:spacing w:val="-8"/>
        </w:rPr>
        <w:t xml:space="preserve"> </w:t>
      </w:r>
      <w:r>
        <w:t>or</w:t>
      </w:r>
      <w:r>
        <w:rPr>
          <w:spacing w:val="-8"/>
        </w:rPr>
        <w:t xml:space="preserve"> </w:t>
      </w:r>
      <w:r>
        <w:t>modifications</w:t>
      </w:r>
      <w:r>
        <w:rPr>
          <w:spacing w:val="-8"/>
        </w:rPr>
        <w:t xml:space="preserve"> </w:t>
      </w:r>
      <w:r>
        <w:t>thereto,</w:t>
      </w:r>
      <w:r>
        <w:rPr>
          <w:spacing w:val="-7"/>
        </w:rPr>
        <w:t xml:space="preserve"> </w:t>
      </w:r>
      <w:r>
        <w:t>as</w:t>
      </w:r>
      <w:r>
        <w:rPr>
          <w:spacing w:val="-8"/>
        </w:rPr>
        <w:t xml:space="preserve"> </w:t>
      </w:r>
      <w:r>
        <w:t>well</w:t>
      </w:r>
      <w:r>
        <w:rPr>
          <w:spacing w:val="-6"/>
        </w:rPr>
        <w:t xml:space="preserve"> </w:t>
      </w:r>
      <w:r>
        <w:t>as</w:t>
      </w:r>
      <w:r>
        <w:rPr>
          <w:spacing w:val="-8"/>
        </w:rPr>
        <w:t xml:space="preserve"> </w:t>
      </w:r>
      <w:r>
        <w:t>any</w:t>
      </w:r>
      <w:r>
        <w:rPr>
          <w:spacing w:val="-8"/>
        </w:rPr>
        <w:t xml:space="preserve"> </w:t>
      </w:r>
      <w:r>
        <w:t>other</w:t>
      </w:r>
      <w:r>
        <w:rPr>
          <w:spacing w:val="-8"/>
        </w:rPr>
        <w:t xml:space="preserve"> </w:t>
      </w:r>
      <w:r>
        <w:t>documents which are related to the Program or the ESG grant awarded to Applicant, as the Department may deem</w:t>
      </w:r>
      <w:r>
        <w:rPr>
          <w:spacing w:val="-7"/>
        </w:rPr>
        <w:t xml:space="preserve"> </w:t>
      </w:r>
      <w:r>
        <w:t>appropriate.</w:t>
      </w:r>
    </w:p>
    <w:p w:rsidR="00EF2F62" w:rsidRDefault="00EF2F62">
      <w:pPr>
        <w:pStyle w:val="BodyText"/>
        <w:rPr>
          <w:sz w:val="26"/>
        </w:rPr>
      </w:pPr>
    </w:p>
    <w:p w:rsidR="00EF2F62" w:rsidRDefault="00EF2F62">
      <w:pPr>
        <w:pStyle w:val="BodyText"/>
        <w:rPr>
          <w:sz w:val="22"/>
        </w:rPr>
      </w:pPr>
    </w:p>
    <w:p w:rsidR="00EF2F62" w:rsidRDefault="009607D3">
      <w:pPr>
        <w:pStyle w:val="BodyText"/>
        <w:ind w:left="2699" w:right="301"/>
        <w:jc w:val="both"/>
      </w:pPr>
      <w:r>
        <w:t>PASSED AND ADOPTED at a regular meeting of the County of Orange Board of Supervisors this 25th day of June, 2019 by the following vote:</w:t>
      </w:r>
    </w:p>
    <w:p w:rsidR="00EF2F62" w:rsidRDefault="00EF2F62">
      <w:pPr>
        <w:pStyle w:val="BodyText"/>
        <w:rPr>
          <w:sz w:val="26"/>
        </w:rPr>
      </w:pPr>
    </w:p>
    <w:p w:rsidR="00EF2F62" w:rsidRDefault="00EF2F62">
      <w:pPr>
        <w:pStyle w:val="BodyText"/>
        <w:rPr>
          <w:sz w:val="22"/>
        </w:rPr>
      </w:pPr>
    </w:p>
    <w:p w:rsidR="00EF2F62" w:rsidRDefault="009607D3">
      <w:pPr>
        <w:pStyle w:val="BodyText"/>
        <w:spacing w:before="1"/>
        <w:ind w:left="2699" w:right="300"/>
        <w:jc w:val="both"/>
      </w:pPr>
      <w:r>
        <w:t>INSTRUCTION:</w:t>
      </w:r>
      <w:r>
        <w:rPr>
          <w:spacing w:val="-6"/>
        </w:rPr>
        <w:t xml:space="preserve"> </w:t>
      </w:r>
      <w:r>
        <w:t>Fill</w:t>
      </w:r>
      <w:r>
        <w:rPr>
          <w:spacing w:val="-7"/>
        </w:rPr>
        <w:t xml:space="preserve"> </w:t>
      </w:r>
      <w:r>
        <w:t>in</w:t>
      </w:r>
      <w:r>
        <w:rPr>
          <w:spacing w:val="-8"/>
        </w:rPr>
        <w:t xml:space="preserve"> </w:t>
      </w:r>
      <w:r>
        <w:t>all</w:t>
      </w:r>
      <w:r>
        <w:rPr>
          <w:spacing w:val="-7"/>
        </w:rPr>
        <w:t xml:space="preserve"> </w:t>
      </w:r>
      <w:r>
        <w:t>four</w:t>
      </w:r>
      <w:r>
        <w:rPr>
          <w:spacing w:val="-7"/>
        </w:rPr>
        <w:t xml:space="preserve"> </w:t>
      </w:r>
      <w:r>
        <w:t>vote-count</w:t>
      </w:r>
      <w:r>
        <w:rPr>
          <w:spacing w:val="-11"/>
        </w:rPr>
        <w:t xml:space="preserve"> </w:t>
      </w:r>
      <w:r>
        <w:t>fields</w:t>
      </w:r>
      <w:r>
        <w:rPr>
          <w:spacing w:val="-6"/>
        </w:rPr>
        <w:t xml:space="preserve"> </w:t>
      </w:r>
      <w:r>
        <w:t>below,</w:t>
      </w:r>
      <w:r>
        <w:rPr>
          <w:spacing w:val="-6"/>
        </w:rPr>
        <w:t xml:space="preserve"> </w:t>
      </w:r>
      <w:r>
        <w:t>if</w:t>
      </w:r>
      <w:r>
        <w:rPr>
          <w:spacing w:val="-3"/>
        </w:rPr>
        <w:t xml:space="preserve"> </w:t>
      </w:r>
      <w:r>
        <w:t>none,</w:t>
      </w:r>
      <w:r>
        <w:rPr>
          <w:spacing w:val="-6"/>
        </w:rPr>
        <w:t xml:space="preserve"> </w:t>
      </w:r>
      <w:r>
        <w:t xml:space="preserve">indicate “0” for that field. Vote totals will be compared to current organizational bylaws, or other governing documents for cities and counties, to verify that an adequate quorum was present for a valid vote by the organization, and that the total number </w:t>
      </w:r>
      <w:r>
        <w:t>of votes matches the stated number of directors/members/councilmembers/supervisors,</w:t>
      </w:r>
      <w:r>
        <w:rPr>
          <w:spacing w:val="-6"/>
        </w:rPr>
        <w:t xml:space="preserve"> </w:t>
      </w:r>
      <w:r>
        <w:t>etc.</w:t>
      </w:r>
    </w:p>
    <w:p w:rsidR="00EF2F62" w:rsidRDefault="00EF2F62">
      <w:pPr>
        <w:pStyle w:val="BodyText"/>
        <w:rPr>
          <w:sz w:val="26"/>
        </w:rPr>
      </w:pPr>
    </w:p>
    <w:p w:rsidR="00EF2F62" w:rsidRDefault="00EF2F62">
      <w:pPr>
        <w:pStyle w:val="BodyText"/>
        <w:rPr>
          <w:sz w:val="22"/>
        </w:rPr>
      </w:pPr>
    </w:p>
    <w:p w:rsidR="00EF2F62" w:rsidRDefault="009607D3">
      <w:pPr>
        <w:pStyle w:val="BodyText"/>
        <w:tabs>
          <w:tab w:val="left" w:pos="4139"/>
          <w:tab w:val="left" w:pos="5579"/>
          <w:tab w:val="left" w:pos="6299"/>
        </w:tabs>
        <w:ind w:left="2699" w:right="4118"/>
      </w:pPr>
      <w:r>
        <w:t>AYES:</w:t>
      </w:r>
      <w:r>
        <w:rPr>
          <w:u w:val="single"/>
        </w:rPr>
        <w:t xml:space="preserve"> </w:t>
      </w:r>
      <w:r>
        <w:rPr>
          <w:u w:val="single"/>
        </w:rPr>
        <w:tab/>
      </w:r>
      <w:r>
        <w:t>ABSTENTIONS:</w:t>
      </w:r>
      <w:r>
        <w:rPr>
          <w:u w:val="single"/>
        </w:rPr>
        <w:tab/>
      </w:r>
      <w:r>
        <w:t xml:space="preserve"> NOES:</w:t>
      </w:r>
      <w:r>
        <w:rPr>
          <w:u w:val="single"/>
        </w:rPr>
        <w:t xml:space="preserve"> </w:t>
      </w:r>
      <w:r>
        <w:rPr>
          <w:u w:val="single"/>
        </w:rPr>
        <w:tab/>
      </w:r>
      <w:r>
        <w:t>ABSENT:</w:t>
      </w:r>
      <w:r>
        <w:rPr>
          <w:u w:val="single"/>
        </w:rPr>
        <w:t xml:space="preserve"> </w:t>
      </w:r>
      <w:r>
        <w:rPr>
          <w:u w:val="single"/>
        </w:rPr>
        <w:tab/>
      </w:r>
    </w:p>
    <w:p w:rsidR="00EF2F62" w:rsidRDefault="00EF2F62">
      <w:pPr>
        <w:pStyle w:val="BodyText"/>
        <w:rPr>
          <w:sz w:val="20"/>
        </w:rPr>
      </w:pPr>
    </w:p>
    <w:p w:rsidR="00EF2F62" w:rsidRDefault="00EF2F62">
      <w:pPr>
        <w:pStyle w:val="BodyText"/>
        <w:rPr>
          <w:sz w:val="20"/>
        </w:rPr>
      </w:pPr>
    </w:p>
    <w:p w:rsidR="00EF2F62" w:rsidRDefault="009607D3">
      <w:pPr>
        <w:pStyle w:val="BodyText"/>
        <w:spacing w:before="7"/>
        <w:rPr>
          <w:sz w:val="20"/>
        </w:rPr>
      </w:pPr>
      <w:r>
        <w:pict>
          <v:line id="_x0000_s2050" style="position:absolute;z-index:251657216;mso-wrap-distance-left:0;mso-wrap-distance-right:0;mso-position-horizontal-relative:page" from="168pt,14.2pt" to="399.75pt,14.2pt">
            <w10:wrap type="topAndBottom" anchorx="page"/>
          </v:line>
        </w:pict>
      </w:r>
    </w:p>
    <w:p w:rsidR="00EF2F62" w:rsidRDefault="009607D3">
      <w:pPr>
        <w:pStyle w:val="BodyText"/>
        <w:spacing w:before="47"/>
        <w:ind w:left="2699"/>
      </w:pPr>
      <w:r>
        <w:t>Signature of Approving Officer</w:t>
      </w:r>
    </w:p>
    <w:p w:rsidR="00EF2F62" w:rsidRDefault="009607D3">
      <w:pPr>
        <w:pStyle w:val="Heading1"/>
      </w:pPr>
      <w:r>
        <w:t>Lisa A. Bartlett, Chairwoman</w:t>
      </w:r>
    </w:p>
    <w:p w:rsidR="00EF2F62" w:rsidRDefault="00EF2F62">
      <w:pPr>
        <w:pStyle w:val="BodyText"/>
        <w:rPr>
          <w:b/>
        </w:rPr>
      </w:pPr>
    </w:p>
    <w:p w:rsidR="00EF2F62" w:rsidRDefault="009607D3">
      <w:pPr>
        <w:ind w:left="2699"/>
        <w:rPr>
          <w:i/>
          <w:sz w:val="24"/>
        </w:rPr>
      </w:pPr>
      <w:r>
        <w:rPr>
          <w:i/>
          <w:sz w:val="24"/>
        </w:rPr>
        <w:t>INSTRUCTION: The approving officer generally cannot be the per</w:t>
      </w:r>
      <w:r>
        <w:rPr>
          <w:i/>
          <w:sz w:val="24"/>
        </w:rPr>
        <w:t>son authorized above as the signor.</w:t>
      </w:r>
    </w:p>
    <w:p w:rsidR="00EF2F62" w:rsidRDefault="00EF2F62">
      <w:pPr>
        <w:pStyle w:val="BodyText"/>
        <w:rPr>
          <w:i/>
          <w:sz w:val="26"/>
        </w:rPr>
      </w:pPr>
    </w:p>
    <w:p w:rsidR="00EF2F62" w:rsidRDefault="00EF2F62">
      <w:pPr>
        <w:pStyle w:val="BodyText"/>
        <w:rPr>
          <w:i/>
          <w:sz w:val="22"/>
        </w:rPr>
      </w:pPr>
    </w:p>
    <w:p w:rsidR="00EF2F62" w:rsidRDefault="009607D3">
      <w:pPr>
        <w:pStyle w:val="BodyText"/>
        <w:tabs>
          <w:tab w:val="left" w:pos="7598"/>
        </w:tabs>
        <w:ind w:left="2699"/>
      </w:pPr>
      <w:r>
        <w:t xml:space="preserve">ATTEST: </w:t>
      </w:r>
      <w:r>
        <w:rPr>
          <w:spacing w:val="-2"/>
        </w:rPr>
        <w:t xml:space="preserve"> </w:t>
      </w:r>
      <w:r>
        <w:rPr>
          <w:u w:val="single"/>
        </w:rPr>
        <w:t xml:space="preserve"> </w:t>
      </w:r>
      <w:r>
        <w:rPr>
          <w:u w:val="single"/>
        </w:rPr>
        <w:tab/>
      </w:r>
    </w:p>
    <w:p w:rsidR="00EF2F62" w:rsidRDefault="009607D3">
      <w:pPr>
        <w:pStyle w:val="BodyText"/>
        <w:ind w:left="2699"/>
      </w:pPr>
      <w:r>
        <w:t>Signature of Attesting Officer</w:t>
      </w:r>
    </w:p>
    <w:p w:rsidR="00EF2F62" w:rsidRDefault="009607D3">
      <w:pPr>
        <w:pStyle w:val="Heading1"/>
      </w:pPr>
      <w:r>
        <w:t>Robin Stieler, Clerk of the Board</w:t>
      </w:r>
    </w:p>
    <w:sectPr w:rsidR="00EF2F62">
      <w:pgSz w:w="12240" w:h="15840"/>
      <w:pgMar w:top="1080" w:right="1140" w:bottom="480" w:left="680" w:header="0" w:footer="2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607D3">
      <w:r>
        <w:separator/>
      </w:r>
    </w:p>
  </w:endnote>
  <w:endnote w:type="continuationSeparator" w:id="0">
    <w:p w:rsidR="00000000" w:rsidRDefault="00960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F62" w:rsidRDefault="009607D3">
    <w:pPr>
      <w:pStyle w:val="BodyText"/>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278.8pt;margin-top:762.5pt;width:63.85pt;height:19.35pt;z-index:-251658752;mso-position-horizontal-relative:page;mso-position-vertical-relative:page" filled="f" stroked="f">
          <v:textbox inset="0,0,0,0">
            <w:txbxContent>
              <w:p w:rsidR="00EF2F62" w:rsidRDefault="009607D3">
                <w:pPr>
                  <w:pStyle w:val="BodyText"/>
                  <w:spacing w:before="90"/>
                  <w:ind w:left="20"/>
                </w:pPr>
                <w:r>
                  <w:t xml:space="preserve">Page </w:t>
                </w:r>
                <w:r>
                  <w:fldChar w:fldCharType="begin"/>
                </w:r>
                <w:r>
                  <w:instrText xml:space="preserve"> PAGE </w:instrText>
                </w:r>
                <w:r>
                  <w:fldChar w:fldCharType="separate"/>
                </w:r>
                <w:r>
                  <w:rPr>
                    <w:noProof/>
                  </w:rPr>
                  <w:t>1</w:t>
                </w:r>
                <w:r>
                  <w:fldChar w:fldCharType="end"/>
                </w:r>
                <w:r>
                  <w:t xml:space="preserve"> of 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607D3">
      <w:r>
        <w:separator/>
      </w:r>
    </w:p>
  </w:footnote>
  <w:footnote w:type="continuationSeparator" w:id="0">
    <w:p w:rsidR="00000000" w:rsidRDefault="009607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77847"/>
    <w:multiLevelType w:val="hybridMultilevel"/>
    <w:tmpl w:val="20B2B040"/>
    <w:lvl w:ilvl="0" w:tplc="3724C662">
      <w:start w:val="1"/>
      <w:numFmt w:val="upperLetter"/>
      <w:lvlText w:val="%1."/>
      <w:lvlJc w:val="left"/>
      <w:pPr>
        <w:ind w:left="100" w:hanging="720"/>
        <w:jc w:val="left"/>
      </w:pPr>
      <w:rPr>
        <w:rFonts w:ascii="Arial" w:eastAsia="Arial" w:hAnsi="Arial" w:cs="Arial" w:hint="default"/>
        <w:w w:val="100"/>
        <w:sz w:val="24"/>
        <w:szCs w:val="24"/>
        <w:lang w:val="en-US" w:eastAsia="en-US" w:bidi="en-US"/>
      </w:rPr>
    </w:lvl>
    <w:lvl w:ilvl="1" w:tplc="290C11CC">
      <w:start w:val="1"/>
      <w:numFmt w:val="decimal"/>
      <w:lvlText w:val="%2."/>
      <w:lvlJc w:val="left"/>
      <w:pPr>
        <w:ind w:left="100" w:hanging="720"/>
        <w:jc w:val="left"/>
      </w:pPr>
      <w:rPr>
        <w:rFonts w:ascii="Arial" w:eastAsia="Arial" w:hAnsi="Arial" w:cs="Arial" w:hint="default"/>
        <w:spacing w:val="-32"/>
        <w:w w:val="99"/>
        <w:sz w:val="24"/>
        <w:szCs w:val="24"/>
        <w:lang w:val="en-US" w:eastAsia="en-US" w:bidi="en-US"/>
      </w:rPr>
    </w:lvl>
    <w:lvl w:ilvl="2" w:tplc="2FB6E5C4">
      <w:numFmt w:val="bullet"/>
      <w:lvlText w:val="•"/>
      <w:lvlJc w:val="left"/>
      <w:pPr>
        <w:ind w:left="1623" w:hanging="720"/>
      </w:pPr>
      <w:rPr>
        <w:rFonts w:hint="default"/>
        <w:lang w:val="en-US" w:eastAsia="en-US" w:bidi="en-US"/>
      </w:rPr>
    </w:lvl>
    <w:lvl w:ilvl="3" w:tplc="15EECDEE">
      <w:numFmt w:val="bullet"/>
      <w:lvlText w:val="•"/>
      <w:lvlJc w:val="left"/>
      <w:pPr>
        <w:ind w:left="2385" w:hanging="720"/>
      </w:pPr>
      <w:rPr>
        <w:rFonts w:hint="default"/>
        <w:lang w:val="en-US" w:eastAsia="en-US" w:bidi="en-US"/>
      </w:rPr>
    </w:lvl>
    <w:lvl w:ilvl="4" w:tplc="A0927D0C">
      <w:numFmt w:val="bullet"/>
      <w:lvlText w:val="•"/>
      <w:lvlJc w:val="left"/>
      <w:pPr>
        <w:ind w:left="3147" w:hanging="720"/>
      </w:pPr>
      <w:rPr>
        <w:rFonts w:hint="default"/>
        <w:lang w:val="en-US" w:eastAsia="en-US" w:bidi="en-US"/>
      </w:rPr>
    </w:lvl>
    <w:lvl w:ilvl="5" w:tplc="99049508">
      <w:numFmt w:val="bullet"/>
      <w:lvlText w:val="•"/>
      <w:lvlJc w:val="left"/>
      <w:pPr>
        <w:ind w:left="3909" w:hanging="720"/>
      </w:pPr>
      <w:rPr>
        <w:rFonts w:hint="default"/>
        <w:lang w:val="en-US" w:eastAsia="en-US" w:bidi="en-US"/>
      </w:rPr>
    </w:lvl>
    <w:lvl w:ilvl="6" w:tplc="DFD2F502">
      <w:numFmt w:val="bullet"/>
      <w:lvlText w:val="•"/>
      <w:lvlJc w:val="left"/>
      <w:pPr>
        <w:ind w:left="4671" w:hanging="720"/>
      </w:pPr>
      <w:rPr>
        <w:rFonts w:hint="default"/>
        <w:lang w:val="en-US" w:eastAsia="en-US" w:bidi="en-US"/>
      </w:rPr>
    </w:lvl>
    <w:lvl w:ilvl="7" w:tplc="EE026AC0">
      <w:numFmt w:val="bullet"/>
      <w:lvlText w:val="•"/>
      <w:lvlJc w:val="left"/>
      <w:pPr>
        <w:ind w:left="5433" w:hanging="720"/>
      </w:pPr>
      <w:rPr>
        <w:rFonts w:hint="default"/>
        <w:lang w:val="en-US" w:eastAsia="en-US" w:bidi="en-US"/>
      </w:rPr>
    </w:lvl>
    <w:lvl w:ilvl="8" w:tplc="E16CA1A4">
      <w:numFmt w:val="bullet"/>
      <w:lvlText w:val="•"/>
      <w:lvlJc w:val="left"/>
      <w:pPr>
        <w:ind w:left="6195" w:hanging="72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EF2F62"/>
    <w:rsid w:val="009607D3"/>
    <w:rsid w:val="00EF2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06744E8"/>
  <w15:docId w15:val="{B6550840-D3D0-4E04-B23C-6DE7F6B9E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269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3001</Characters>
  <Application>Microsoft Office Word</Application>
  <DocSecurity>0</DocSecurity>
  <Lines>25</Lines>
  <Paragraphs>7</Paragraphs>
  <ScaleCrop>false</ScaleCrop>
  <Company>County Of Orange</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Vavrinek, Trine, Day &amp; Co.</dc:title>
  <dc:creator>EBurgos</dc:creator>
  <cp:keywords>FY 2017-18 Single Audit</cp:keywords>
  <cp:lastModifiedBy>Lopez, Maria [COB]</cp:lastModifiedBy>
  <cp:revision>2</cp:revision>
  <dcterms:created xsi:type="dcterms:W3CDTF">2019-06-19T22:53:00Z</dcterms:created>
  <dcterms:modified xsi:type="dcterms:W3CDTF">2019-06-26T15:13:00Z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2019-06-19T00:00:00Z</vt:filetime>
  </property>
  <property fmtid="{D5CDD505-2E9C-101B-9397-08002B2CF9AE}" pid="3" name="Creator">
    <vt:lpwstr>Acrobat PDFMaker 17 for Word</vt:lpwstr>
  </property>
  <property fmtid="{D5CDD505-2E9C-101B-9397-08002B2CF9AE}" pid="4" name="LastSaved">
    <vt:filetime>2019-06-19T00:00:00Z</vt:filetime>
  </property>
</Properties>
</file>