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64" w:rsidRPr="00EA3041" w:rsidRDefault="00B342B2" w:rsidP="00B342B2">
      <w:pPr>
        <w:jc w:val="center"/>
        <w:rPr>
          <w:b/>
          <w:sz w:val="32"/>
          <w:szCs w:val="32"/>
        </w:rPr>
      </w:pPr>
      <w:r w:rsidRPr="00EA3041">
        <w:rPr>
          <w:b/>
          <w:sz w:val="32"/>
          <w:szCs w:val="32"/>
        </w:rPr>
        <w:t>Contract Summary</w:t>
      </w:r>
      <w:r w:rsidR="00EA3041" w:rsidRPr="00EA3041">
        <w:rPr>
          <w:b/>
          <w:sz w:val="32"/>
          <w:szCs w:val="32"/>
        </w:rPr>
        <w:t xml:space="preserve"> Form</w:t>
      </w:r>
    </w:p>
    <w:p w:rsidR="00EA3041" w:rsidRPr="007B347F" w:rsidRDefault="00517C1D" w:rsidP="00B342B2">
      <w:pPr>
        <w:jc w:val="center"/>
        <w:rPr>
          <w:sz w:val="24"/>
          <w:szCs w:val="24"/>
        </w:rPr>
      </w:pPr>
      <w:r w:rsidRPr="007B347F">
        <w:rPr>
          <w:sz w:val="24"/>
          <w:szCs w:val="24"/>
        </w:rPr>
        <w:t>Mercy House Living Centers, Inc.</w:t>
      </w:r>
    </w:p>
    <w:p w:rsidR="00BD7D7D" w:rsidRPr="00246E53" w:rsidRDefault="00BD7D7D" w:rsidP="00B342B2">
      <w:pPr>
        <w:jc w:val="center"/>
        <w:rPr>
          <w:color w:val="FF0000"/>
          <w:sz w:val="24"/>
          <w:szCs w:val="24"/>
        </w:rPr>
      </w:pPr>
    </w:p>
    <w:p w:rsidR="00CE393E" w:rsidRPr="00246E53" w:rsidRDefault="00CE393E" w:rsidP="00CE393E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SUMMARY OF SIGNIFICANT CHANGES</w:t>
      </w:r>
    </w:p>
    <w:p w:rsidR="00CE393E" w:rsidRDefault="0061120C" w:rsidP="0061120C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61120C">
        <w:rPr>
          <w:rFonts w:cs="Arial-BoldMT"/>
          <w:bCs/>
          <w:sz w:val="24"/>
          <w:szCs w:val="24"/>
        </w:rPr>
        <w:t>Increase in contract amount will be used to allow the program to remain open</w:t>
      </w:r>
      <w:r>
        <w:rPr>
          <w:rFonts w:cs="Arial-BoldMT"/>
          <w:bCs/>
          <w:sz w:val="24"/>
          <w:szCs w:val="24"/>
        </w:rPr>
        <w:t xml:space="preserve"> </w:t>
      </w:r>
      <w:r w:rsidRPr="0061120C">
        <w:rPr>
          <w:rFonts w:cs="Arial-BoldMT"/>
          <w:bCs/>
          <w:sz w:val="24"/>
          <w:szCs w:val="24"/>
        </w:rPr>
        <w:t>through April 15, 2018</w:t>
      </w:r>
      <w:r w:rsidR="00FF0F8A">
        <w:rPr>
          <w:rFonts w:cs="Arial-BoldMT"/>
          <w:bCs/>
          <w:sz w:val="24"/>
          <w:szCs w:val="24"/>
        </w:rPr>
        <w:t>,</w:t>
      </w:r>
      <w:bookmarkStart w:id="0" w:name="_GoBack"/>
      <w:bookmarkEnd w:id="0"/>
      <w:r w:rsidRPr="0061120C">
        <w:rPr>
          <w:rFonts w:cs="Arial-BoldMT"/>
          <w:bCs/>
          <w:sz w:val="24"/>
          <w:szCs w:val="24"/>
        </w:rPr>
        <w:t xml:space="preserve"> due to costs incurred for addi</w:t>
      </w:r>
      <w:r>
        <w:rPr>
          <w:rFonts w:cs="Arial-BoldMT"/>
          <w:bCs/>
          <w:sz w:val="24"/>
          <w:szCs w:val="24"/>
        </w:rPr>
        <w:t xml:space="preserve">tional transportation and early </w:t>
      </w:r>
      <w:r w:rsidRPr="0061120C">
        <w:rPr>
          <w:rFonts w:cs="Arial-BoldMT"/>
          <w:bCs/>
          <w:sz w:val="24"/>
          <w:szCs w:val="24"/>
        </w:rPr>
        <w:t xml:space="preserve">opening date and other activities eligible in the scope of </w:t>
      </w:r>
      <w:r>
        <w:rPr>
          <w:rFonts w:cs="Arial-BoldMT"/>
          <w:bCs/>
          <w:sz w:val="24"/>
          <w:szCs w:val="24"/>
        </w:rPr>
        <w:t xml:space="preserve">work including, but not </w:t>
      </w:r>
      <w:r w:rsidRPr="0061120C">
        <w:rPr>
          <w:rFonts w:cs="Arial-BoldMT"/>
          <w:bCs/>
          <w:sz w:val="24"/>
          <w:szCs w:val="24"/>
        </w:rPr>
        <w:t>limited to, adding housing navigation, rental of por</w:t>
      </w:r>
      <w:r>
        <w:rPr>
          <w:rFonts w:cs="Arial-BoldMT"/>
          <w:bCs/>
          <w:sz w:val="24"/>
          <w:szCs w:val="24"/>
        </w:rPr>
        <w:t>ta potties and/or additional 24-</w:t>
      </w:r>
      <w:r w:rsidRPr="0061120C">
        <w:rPr>
          <w:rFonts w:cs="Arial-BoldMT"/>
          <w:bCs/>
          <w:sz w:val="24"/>
          <w:szCs w:val="24"/>
        </w:rPr>
        <w:t>hour operating periods due to inclement weather.</w:t>
      </w:r>
    </w:p>
    <w:p w:rsidR="0061120C" w:rsidRPr="0061120C" w:rsidRDefault="0061120C" w:rsidP="0061120C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</w:p>
    <w:p w:rsidR="0080061B" w:rsidRPr="00246E53" w:rsidRDefault="00A8265E" w:rsidP="0080061B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SUBCONTRACTORS</w:t>
      </w:r>
    </w:p>
    <w:p w:rsidR="00C102D3" w:rsidRPr="00246E53" w:rsidRDefault="00C102D3" w:rsidP="001E4845">
      <w:pPr>
        <w:pStyle w:val="BodyText2"/>
        <w:spacing w:line="240" w:lineRule="auto"/>
        <w:ind w:firstLine="0"/>
        <w:rPr>
          <w:rFonts w:ascii="Calibri" w:hAnsi="Calibri" w:cs="Calibri"/>
          <w:color w:val="FF0000"/>
          <w:sz w:val="22"/>
          <w:szCs w:val="22"/>
        </w:rPr>
      </w:pPr>
    </w:p>
    <w:p w:rsidR="00A8265E" w:rsidRPr="00E25FCF" w:rsidRDefault="00E25FCF" w:rsidP="001E4845">
      <w:pPr>
        <w:jc w:val="both"/>
        <w:rPr>
          <w:iCs/>
          <w:sz w:val="24"/>
          <w:szCs w:val="24"/>
        </w:rPr>
      </w:pPr>
      <w:r w:rsidRPr="00246E53">
        <w:rPr>
          <w:iCs/>
          <w:sz w:val="24"/>
          <w:szCs w:val="24"/>
        </w:rPr>
        <w:t xml:space="preserve">This </w:t>
      </w:r>
      <w:r w:rsidR="00246E53" w:rsidRPr="00246E53">
        <w:rPr>
          <w:iCs/>
          <w:sz w:val="24"/>
          <w:szCs w:val="24"/>
        </w:rPr>
        <w:t>c</w:t>
      </w:r>
      <w:r w:rsidRPr="00246E53">
        <w:rPr>
          <w:iCs/>
          <w:sz w:val="24"/>
          <w:szCs w:val="24"/>
        </w:rPr>
        <w:t xml:space="preserve">ontract allows for subcontracting with </w:t>
      </w:r>
      <w:r w:rsidR="0061120C">
        <w:rPr>
          <w:iCs/>
          <w:sz w:val="24"/>
          <w:szCs w:val="24"/>
        </w:rPr>
        <w:t>OC Community Resources</w:t>
      </w:r>
      <w:r w:rsidRPr="00246E53">
        <w:rPr>
          <w:iCs/>
          <w:sz w:val="24"/>
          <w:szCs w:val="24"/>
        </w:rPr>
        <w:t xml:space="preserve"> consent </w:t>
      </w:r>
      <w:r w:rsidR="00A03AE1">
        <w:rPr>
          <w:iCs/>
          <w:sz w:val="24"/>
          <w:szCs w:val="24"/>
        </w:rPr>
        <w:t xml:space="preserve">pursuant to the General Terms and Conditions, Section I.  Assignment or Sub-Contracting </w:t>
      </w:r>
      <w:r w:rsidRPr="00246E53">
        <w:rPr>
          <w:iCs/>
          <w:sz w:val="24"/>
          <w:szCs w:val="24"/>
        </w:rPr>
        <w:t xml:space="preserve">within the contract amount for the term specified. Should the addition of a subcontractor impact the scope of work </w:t>
      </w:r>
      <w:r w:rsidR="00A77139" w:rsidRPr="00246E53">
        <w:rPr>
          <w:iCs/>
          <w:sz w:val="24"/>
          <w:szCs w:val="24"/>
        </w:rPr>
        <w:t>and/</w:t>
      </w:r>
      <w:r w:rsidRPr="00246E53">
        <w:rPr>
          <w:iCs/>
          <w:sz w:val="24"/>
          <w:szCs w:val="24"/>
        </w:rPr>
        <w:t xml:space="preserve">or </w:t>
      </w:r>
      <w:r w:rsidR="00A90888" w:rsidRPr="00246E53">
        <w:rPr>
          <w:iCs/>
          <w:sz w:val="24"/>
          <w:szCs w:val="24"/>
        </w:rPr>
        <w:t>contract amount</w:t>
      </w:r>
      <w:r w:rsidRPr="00246E53">
        <w:rPr>
          <w:iCs/>
          <w:sz w:val="24"/>
          <w:szCs w:val="24"/>
        </w:rPr>
        <w:t>, the department will bring the item back to the Board of Supervisors for approval.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588"/>
      </w:tblGrid>
      <w:tr w:rsidR="007B347F" w:rsidTr="007B347F">
        <w:trPr>
          <w:trHeight w:val="350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47F" w:rsidRDefault="007B347F" w:rsidP="007B3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Service(s)</w:t>
            </w:r>
          </w:p>
          <w:p w:rsidR="007B347F" w:rsidRDefault="007B347F" w:rsidP="00794ADC">
            <w:pPr>
              <w:rPr>
                <w:sz w:val="24"/>
                <w:szCs w:val="24"/>
              </w:rPr>
            </w:pPr>
          </w:p>
        </w:tc>
      </w:tr>
      <w:tr w:rsidR="007B347F" w:rsidTr="007B347F">
        <w:trPr>
          <w:trHeight w:val="309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47F" w:rsidRDefault="007B347F" w:rsidP="007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Janitorial</w:t>
            </w:r>
          </w:p>
        </w:tc>
      </w:tr>
      <w:tr w:rsidR="007B347F" w:rsidTr="007B347F">
        <w:trPr>
          <w:trHeight w:val="309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47F" w:rsidRDefault="007B347F" w:rsidP="007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Disposal</w:t>
            </w:r>
          </w:p>
        </w:tc>
      </w:tr>
      <w:tr w:rsidR="007B347F" w:rsidTr="007B347F">
        <w:trPr>
          <w:trHeight w:val="309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47F" w:rsidRDefault="007B347F" w:rsidP="007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 Bins</w:t>
            </w:r>
          </w:p>
        </w:tc>
      </w:tr>
      <w:tr w:rsidR="007B347F" w:rsidTr="007B347F">
        <w:trPr>
          <w:trHeight w:val="325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47F" w:rsidRDefault="007B347F" w:rsidP="007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Meals</w:t>
            </w:r>
          </w:p>
        </w:tc>
      </w:tr>
      <w:tr w:rsidR="007B347F" w:rsidTr="007B347F">
        <w:trPr>
          <w:trHeight w:val="309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47F" w:rsidRPr="007B347F" w:rsidRDefault="007B347F" w:rsidP="00794ADC">
            <w:pPr>
              <w:rPr>
                <w:sz w:val="24"/>
                <w:szCs w:val="24"/>
              </w:rPr>
            </w:pPr>
            <w:r w:rsidRPr="007B347F">
              <w:rPr>
                <w:sz w:val="24"/>
                <w:szCs w:val="24"/>
              </w:rPr>
              <w:t>Food Delivery</w:t>
            </w:r>
          </w:p>
        </w:tc>
      </w:tr>
      <w:tr w:rsidR="007B347F" w:rsidTr="007B347F">
        <w:trPr>
          <w:trHeight w:val="309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47F" w:rsidRPr="007B347F" w:rsidRDefault="007B347F" w:rsidP="00794ADC">
            <w:pPr>
              <w:rPr>
                <w:sz w:val="24"/>
                <w:szCs w:val="24"/>
              </w:rPr>
            </w:pPr>
            <w:r w:rsidRPr="007B347F">
              <w:rPr>
                <w:sz w:val="24"/>
                <w:szCs w:val="24"/>
              </w:rPr>
              <w:t>Transportation</w:t>
            </w:r>
          </w:p>
        </w:tc>
      </w:tr>
      <w:tr w:rsidR="007B347F" w:rsidTr="007B347F">
        <w:trPr>
          <w:trHeight w:val="309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47F" w:rsidRDefault="007B347F" w:rsidP="007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Security </w:t>
            </w:r>
          </w:p>
        </w:tc>
      </w:tr>
      <w:tr w:rsidR="007B347F" w:rsidTr="007B347F">
        <w:trPr>
          <w:trHeight w:val="309"/>
        </w:trPr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47F" w:rsidRDefault="007B347F" w:rsidP="0079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Laundry</w:t>
            </w:r>
          </w:p>
        </w:tc>
      </w:tr>
    </w:tbl>
    <w:p w:rsidR="00A8265E" w:rsidRDefault="00A8265E" w:rsidP="00794ADC">
      <w:pPr>
        <w:rPr>
          <w:sz w:val="24"/>
          <w:szCs w:val="24"/>
        </w:rPr>
      </w:pPr>
    </w:p>
    <w:p w:rsidR="00A8265E" w:rsidRPr="0080061B" w:rsidRDefault="00A8265E" w:rsidP="00A8265E">
      <w:pPr>
        <w:shd w:val="clear" w:color="auto" w:fill="BFBFBF" w:themeFill="background1" w:themeFillShade="BF"/>
        <w:rPr>
          <w:b/>
          <w:sz w:val="36"/>
          <w:szCs w:val="36"/>
        </w:rPr>
      </w:pPr>
      <w:r>
        <w:rPr>
          <w:b/>
          <w:sz w:val="24"/>
          <w:szCs w:val="24"/>
        </w:rPr>
        <w:t>CONTRACT OPERATING EXPENSES</w:t>
      </w:r>
    </w:p>
    <w:tbl>
      <w:tblPr>
        <w:tblpPr w:leftFromText="180" w:rightFromText="180" w:vertAnchor="text" w:horzAnchor="margin" w:tblpXSpec="center" w:tblpY="103"/>
        <w:tblW w:w="7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98"/>
        <w:gridCol w:w="1620"/>
        <w:gridCol w:w="1530"/>
        <w:gridCol w:w="2160"/>
      </w:tblGrid>
      <w:tr w:rsidR="0061120C" w:rsidRPr="00A359F0" w:rsidTr="005D1BD5">
        <w:trPr>
          <w:trHeight w:val="528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120C" w:rsidRPr="00A359F0" w:rsidRDefault="0061120C" w:rsidP="005D1BD5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359F0">
              <w:rPr>
                <w:rFonts w:ascii="Arial" w:hAnsi="Arial"/>
                <w:b/>
                <w:color w:val="000000"/>
              </w:rPr>
              <w:t>Proposed Activities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120C" w:rsidRPr="00A359F0" w:rsidRDefault="0061120C" w:rsidP="005D1BD5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359F0">
              <w:rPr>
                <w:rFonts w:ascii="Arial" w:hAnsi="Arial"/>
                <w:b/>
                <w:color w:val="000000"/>
              </w:rPr>
              <w:t>County Funds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120C" w:rsidRPr="00A359F0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59F0">
              <w:rPr>
                <w:rFonts w:ascii="Arial" w:hAnsi="Arial" w:cs="Arial"/>
                <w:b/>
              </w:rPr>
              <w:t>SSA</w:t>
            </w:r>
          </w:p>
          <w:p w:rsidR="0061120C" w:rsidRPr="00A359F0" w:rsidRDefault="0061120C" w:rsidP="005D1BD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A359F0">
              <w:rPr>
                <w:rFonts w:ascii="Arial" w:hAnsi="Arial" w:cs="Arial"/>
                <w:b/>
              </w:rPr>
              <w:t>Fund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120C" w:rsidRPr="00A359F0" w:rsidRDefault="0061120C" w:rsidP="005D1BD5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359F0">
              <w:rPr>
                <w:rFonts w:ascii="Arial" w:hAnsi="Arial"/>
                <w:b/>
                <w:color w:val="000000"/>
              </w:rPr>
              <w:t>Total Budget</w:t>
            </w:r>
          </w:p>
          <w:p w:rsidR="0061120C" w:rsidRPr="00A359F0" w:rsidRDefault="0061120C" w:rsidP="005D1BD5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359F0">
              <w:rPr>
                <w:rFonts w:ascii="Arial" w:hAnsi="Arial"/>
                <w:b/>
                <w:color w:val="000000"/>
              </w:rPr>
              <w:t>(Col. 1 + Col. 2)</w:t>
            </w:r>
          </w:p>
        </w:tc>
      </w:tr>
      <w:tr w:rsidR="0061120C" w:rsidRPr="00A359F0" w:rsidTr="005D1BD5">
        <w:trPr>
          <w:trHeight w:val="24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61120C" w:rsidRPr="00A359F0" w:rsidRDefault="0061120C" w:rsidP="0061120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359F0">
              <w:rPr>
                <w:rFonts w:ascii="Arial" w:hAnsi="Arial" w:cs="Arial"/>
              </w:rPr>
              <w:t>Administration Costs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20C" w:rsidRPr="007A7267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267">
              <w:rPr>
                <w:rFonts w:ascii="Arial" w:hAnsi="Arial" w:cs="Arial"/>
              </w:rPr>
              <w:t>$89,760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20C" w:rsidRPr="007A7267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20C" w:rsidRPr="007A7267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267">
              <w:rPr>
                <w:rFonts w:ascii="Arial" w:hAnsi="Arial" w:cs="Arial"/>
              </w:rPr>
              <w:t>$89,760</w:t>
            </w:r>
          </w:p>
        </w:tc>
      </w:tr>
      <w:tr w:rsidR="0061120C" w:rsidRPr="00A359F0" w:rsidTr="005D1BD5">
        <w:trPr>
          <w:trHeight w:val="348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61120C" w:rsidRPr="00A359F0" w:rsidRDefault="0061120C" w:rsidP="0061120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color w:val="000000"/>
              </w:rPr>
            </w:pPr>
            <w:r w:rsidRPr="00A359F0">
              <w:rPr>
                <w:rFonts w:ascii="Arial" w:hAnsi="Arial"/>
                <w:color w:val="000000"/>
              </w:rPr>
              <w:t>Operating Costs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20C" w:rsidRPr="007A7267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26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1,115,563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20C" w:rsidRPr="007A7267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$99,676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20C" w:rsidRPr="007A7267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$1,215,239</w:t>
            </w:r>
          </w:p>
        </w:tc>
      </w:tr>
      <w:tr w:rsidR="0061120C" w:rsidRPr="00A359F0" w:rsidTr="005D1BD5">
        <w:trPr>
          <w:trHeight w:val="348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1120C" w:rsidRPr="00A359F0" w:rsidRDefault="0061120C" w:rsidP="0061120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color w:val="000000"/>
              </w:rPr>
            </w:pPr>
            <w:r w:rsidRPr="00A359F0">
              <w:rPr>
                <w:rFonts w:ascii="Arial" w:hAnsi="Arial"/>
                <w:color w:val="000000"/>
              </w:rPr>
              <w:t>Rapid Rehousing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20C" w:rsidRPr="000A23A9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23A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73,137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20C" w:rsidRPr="000A23A9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$233,399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20C" w:rsidRPr="000A23A9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23A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306,536</w:t>
            </w:r>
          </w:p>
        </w:tc>
      </w:tr>
      <w:tr w:rsidR="0061120C" w:rsidRPr="00A359F0" w:rsidTr="005D1BD5">
        <w:trPr>
          <w:trHeight w:val="348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1120C" w:rsidRPr="00A359F0" w:rsidRDefault="0061120C" w:rsidP="0061120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color w:val="000000"/>
              </w:rPr>
            </w:pPr>
            <w:r w:rsidRPr="00A359F0">
              <w:rPr>
                <w:rFonts w:ascii="Arial" w:hAnsi="Arial"/>
                <w:color w:val="000000"/>
              </w:rPr>
              <w:t>HMIS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120C" w:rsidRPr="00494649" w:rsidRDefault="0061120C" w:rsidP="005D1BD5">
            <w:pPr>
              <w:spacing w:after="0" w:line="240" w:lineRule="auto"/>
              <w:jc w:val="center"/>
              <w:rPr>
                <w:rFonts w:ascii="Arial" w:hAnsi="Arial"/>
                <w:color w:val="C00000"/>
              </w:rPr>
            </w:pPr>
            <w:r w:rsidRPr="00494649"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t>9,693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120C" w:rsidRPr="008E14F8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120C" w:rsidRPr="008E14F8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49464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9,693</w:t>
            </w:r>
          </w:p>
        </w:tc>
      </w:tr>
      <w:tr w:rsidR="0061120C" w:rsidRPr="00A359F0" w:rsidTr="005D1BD5">
        <w:trPr>
          <w:trHeight w:val="348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1120C" w:rsidRPr="00A359F0" w:rsidRDefault="0061120C" w:rsidP="005D1BD5">
            <w:pPr>
              <w:spacing w:after="0" w:line="240" w:lineRule="auto"/>
              <w:jc w:val="center"/>
              <w:rPr>
                <w:rFonts w:ascii="Arial" w:hAnsi="Arial"/>
                <w:strike/>
                <w:color w:val="000000"/>
              </w:rPr>
            </w:pPr>
            <w:r w:rsidRPr="00A359F0">
              <w:rPr>
                <w:rFonts w:ascii="Arial" w:hAnsi="Arial"/>
                <w:b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120C" w:rsidRPr="00494649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  <w:r w:rsidR="00A03AE1">
              <w:rPr>
                <w:rFonts w:ascii="Arial" w:hAnsi="Arial" w:cs="Arial"/>
                <w:b/>
                <w:bCs/>
              </w:rPr>
              <w:t>1,28</w:t>
            </w:r>
            <w:r>
              <w:rPr>
                <w:rFonts w:ascii="Arial" w:hAnsi="Arial" w:cs="Arial"/>
                <w:b/>
                <w:bCs/>
              </w:rPr>
              <w:t>8,153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120C" w:rsidRPr="00494649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94649">
              <w:rPr>
                <w:rFonts w:ascii="Arial" w:hAnsi="Arial" w:cs="Arial"/>
                <w:b/>
                <w:bCs/>
              </w:rPr>
              <w:t>$</w:t>
            </w:r>
            <w:r>
              <w:rPr>
                <w:rFonts w:ascii="Arial" w:hAnsi="Arial" w:cs="Arial"/>
                <w:b/>
                <w:bCs/>
              </w:rPr>
              <w:t>333,075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120C" w:rsidRPr="00494649" w:rsidRDefault="0061120C" w:rsidP="005D1B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$1,621,228</w:t>
            </w:r>
          </w:p>
        </w:tc>
      </w:tr>
    </w:tbl>
    <w:p w:rsidR="00C50AC7" w:rsidRPr="00E64C21" w:rsidRDefault="00C50AC7" w:rsidP="00794ADC">
      <w:pPr>
        <w:rPr>
          <w:sz w:val="24"/>
          <w:szCs w:val="24"/>
        </w:rPr>
      </w:pPr>
    </w:p>
    <w:sectPr w:rsidR="00C50AC7" w:rsidRPr="00E64C21" w:rsidSect="00E64C21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9A" w:rsidRDefault="0039469A" w:rsidP="00B342B2">
      <w:pPr>
        <w:spacing w:after="0" w:line="240" w:lineRule="auto"/>
      </w:pPr>
      <w:r>
        <w:separator/>
      </w:r>
    </w:p>
  </w:endnote>
  <w:endnote w:type="continuationSeparator" w:id="0">
    <w:p w:rsidR="0039469A" w:rsidRDefault="0039469A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altName w:val="Courier New"/>
    <w:charset w:val="00"/>
    <w:family w:val="auto"/>
    <w:pitch w:val="default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B2" w:rsidRPr="00B342B2" w:rsidRDefault="00B342B2" w:rsidP="00B342B2">
    <w:pPr>
      <w:pStyle w:val="Footer"/>
      <w:jc w:val="right"/>
    </w:pPr>
    <w:r w:rsidRPr="00B342B2">
      <w:t xml:space="preserve">Page </w:t>
    </w:r>
    <w:r w:rsidRPr="00B342B2">
      <w:fldChar w:fldCharType="begin"/>
    </w:r>
    <w:r w:rsidRPr="00B342B2">
      <w:instrText xml:space="preserve"> PAGE  \* Arabic  \* MERGEFORMAT </w:instrText>
    </w:r>
    <w:r w:rsidRPr="00B342B2">
      <w:fldChar w:fldCharType="separate"/>
    </w:r>
    <w:r w:rsidR="00FF0F8A">
      <w:rPr>
        <w:noProof/>
      </w:rPr>
      <w:t>1</w:t>
    </w:r>
    <w:r w:rsidRPr="00B342B2">
      <w:fldChar w:fldCharType="end"/>
    </w:r>
    <w:r w:rsidRPr="00B342B2">
      <w:t xml:space="preserve"> of </w:t>
    </w:r>
    <w:r w:rsidR="0039469A">
      <w:fldChar w:fldCharType="begin"/>
    </w:r>
    <w:r w:rsidR="0039469A">
      <w:instrText xml:space="preserve"> NUMPAGES  \* Arabic  \* MERGEFORMAT </w:instrText>
    </w:r>
    <w:r w:rsidR="0039469A">
      <w:fldChar w:fldCharType="separate"/>
    </w:r>
    <w:r w:rsidR="00FF0F8A">
      <w:rPr>
        <w:noProof/>
      </w:rPr>
      <w:t>1</w:t>
    </w:r>
    <w:r w:rsidR="0039469A">
      <w:rPr>
        <w:noProof/>
      </w:rPr>
      <w:fldChar w:fldCharType="end"/>
    </w:r>
  </w:p>
  <w:p w:rsidR="00B342B2" w:rsidRDefault="00B34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9A" w:rsidRDefault="0039469A" w:rsidP="00B342B2">
      <w:pPr>
        <w:spacing w:after="0" w:line="240" w:lineRule="auto"/>
      </w:pPr>
      <w:r>
        <w:separator/>
      </w:r>
    </w:p>
  </w:footnote>
  <w:footnote w:type="continuationSeparator" w:id="0">
    <w:p w:rsidR="0039469A" w:rsidRDefault="0039469A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B2" w:rsidRPr="00B342B2" w:rsidRDefault="00B342B2" w:rsidP="00B342B2">
    <w:pPr>
      <w:pStyle w:val="Header"/>
      <w:jc w:val="right"/>
    </w:pPr>
    <w:r>
      <w:t xml:space="preserve">Attachment </w:t>
    </w:r>
    <w:r w:rsidR="00000918">
      <w:t>C</w:t>
    </w:r>
  </w:p>
  <w:p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2DE"/>
    <w:multiLevelType w:val="hybridMultilevel"/>
    <w:tmpl w:val="F0220058"/>
    <w:lvl w:ilvl="0" w:tplc="69F44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0153C"/>
    <w:multiLevelType w:val="hybridMultilevel"/>
    <w:tmpl w:val="C4AC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4448"/>
    <w:multiLevelType w:val="hybridMultilevel"/>
    <w:tmpl w:val="7DD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000918"/>
    <w:rsid w:val="00063F9C"/>
    <w:rsid w:val="001142F7"/>
    <w:rsid w:val="001E4845"/>
    <w:rsid w:val="00234CCE"/>
    <w:rsid w:val="00246E53"/>
    <w:rsid w:val="0039469A"/>
    <w:rsid w:val="003F218C"/>
    <w:rsid w:val="004604AC"/>
    <w:rsid w:val="004F32E1"/>
    <w:rsid w:val="005038A3"/>
    <w:rsid w:val="00505BEA"/>
    <w:rsid w:val="00517C1D"/>
    <w:rsid w:val="005250A2"/>
    <w:rsid w:val="00591A78"/>
    <w:rsid w:val="0061120C"/>
    <w:rsid w:val="006329A5"/>
    <w:rsid w:val="00681964"/>
    <w:rsid w:val="007057DA"/>
    <w:rsid w:val="00712902"/>
    <w:rsid w:val="00792738"/>
    <w:rsid w:val="00794ADC"/>
    <w:rsid w:val="007A438E"/>
    <w:rsid w:val="007B347F"/>
    <w:rsid w:val="0080061B"/>
    <w:rsid w:val="009031E8"/>
    <w:rsid w:val="009122BD"/>
    <w:rsid w:val="009261F9"/>
    <w:rsid w:val="009D5FB1"/>
    <w:rsid w:val="00A03AE1"/>
    <w:rsid w:val="00A77139"/>
    <w:rsid w:val="00A8265E"/>
    <w:rsid w:val="00A90888"/>
    <w:rsid w:val="00AC5FE5"/>
    <w:rsid w:val="00B0798D"/>
    <w:rsid w:val="00B342B2"/>
    <w:rsid w:val="00B3618C"/>
    <w:rsid w:val="00BD7D7D"/>
    <w:rsid w:val="00C102D3"/>
    <w:rsid w:val="00C50AC7"/>
    <w:rsid w:val="00C55AC9"/>
    <w:rsid w:val="00CC17F0"/>
    <w:rsid w:val="00CE393E"/>
    <w:rsid w:val="00D007DC"/>
    <w:rsid w:val="00D3731A"/>
    <w:rsid w:val="00D42809"/>
    <w:rsid w:val="00D5615F"/>
    <w:rsid w:val="00D6678C"/>
    <w:rsid w:val="00E0577C"/>
    <w:rsid w:val="00E25FCF"/>
    <w:rsid w:val="00E64C21"/>
    <w:rsid w:val="00EA3041"/>
    <w:rsid w:val="00F64BE9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FE89D-D5E8-49B4-86B4-774E1C3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102D3"/>
    <w:pPr>
      <w:spacing w:after="0" w:line="463" w:lineRule="exact"/>
      <w:ind w:right="173" w:firstLine="1440"/>
      <w:jc w:val="both"/>
    </w:pPr>
    <w:rPr>
      <w:rFonts w:ascii="Letter Gothic" w:hAnsi="Letter Gothic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2D3"/>
    <w:rPr>
      <w:rFonts w:ascii="Letter Gothic" w:hAnsi="Letter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5" ma:contentTypeDescription="Create a new document." ma:contentTypeScope="" ma:versionID="a04fef625401ca1c4d03f9fbde59a702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xmlns:ns3="a1ffdfb0-645c-41a6-aa64-ffa34717d74f" targetNamespace="http://schemas.microsoft.com/office/2006/metadata/properties" ma:root="true" ma:fieldsID="52f3cb0b6ca6cc581730c9fcc6ba95ac" ns1:_="" ns2:_="" ns3:_="">
    <xsd:import namespace="http://schemas.microsoft.com/sharepoint/v3"/>
    <xsd:import namespace="4c2d9432-33c7-4fa1-9d2c-9d5dbf3eea54"/>
    <xsd:import namespace="a1ffdfb0-645c-41a6-aa64-ffa34717d7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dfb0-645c-41a6-aa64-ffa34717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CC342-6917-42D0-80CF-A89E3F68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a1ffdfb0-645c-41a6-aa64-ffa34717d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B1002-2657-4708-B749-C9BDA560C0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2d9432-33c7-4fa1-9d2c-9d5dbf3eea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Redd, Alexander</cp:lastModifiedBy>
  <cp:revision>6</cp:revision>
  <dcterms:created xsi:type="dcterms:W3CDTF">2018-01-31T20:27:00Z</dcterms:created>
  <dcterms:modified xsi:type="dcterms:W3CDTF">2018-01-31T21:50:00Z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