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00AE" w14:textId="658A3304" w:rsidR="009B4496" w:rsidRPr="00280E47" w:rsidRDefault="009B4496" w:rsidP="00B73A51">
      <w:pPr>
        <w:spacing w:after="0" w:line="240" w:lineRule="auto"/>
        <w:jc w:val="center"/>
        <w:rPr>
          <w:rFonts w:ascii="Arial" w:hAnsi="Arial" w:cs="Arial"/>
          <w:sz w:val="16"/>
          <w:szCs w:val="16"/>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C47514">
        <w:rPr>
          <w:rFonts w:ascii="Times New Roman" w:hAnsi="Times New Roman" w:cs="Times New Roman"/>
          <w:sz w:val="20"/>
          <w:szCs w:val="20"/>
        </w:rPr>
        <w:tab/>
      </w:r>
    </w:p>
    <w:p w14:paraId="316BEE28" w14:textId="77777777" w:rsidR="009B4496" w:rsidRDefault="009B4496" w:rsidP="00B73A51">
      <w:pPr>
        <w:spacing w:after="0" w:line="240" w:lineRule="auto"/>
        <w:jc w:val="center"/>
        <w:rPr>
          <w:rFonts w:ascii="Times New Roman" w:hAnsi="Times New Roman" w:cs="Times New Roman"/>
          <w:sz w:val="24"/>
          <w:szCs w:val="24"/>
        </w:rPr>
      </w:pPr>
    </w:p>
    <w:p w14:paraId="69A1BC62" w14:textId="7E12C712" w:rsidR="00B73A51" w:rsidRPr="00B73A51" w:rsidRDefault="00B73A51" w:rsidP="00B73A51">
      <w:pPr>
        <w:spacing w:after="0" w:line="240" w:lineRule="auto"/>
        <w:jc w:val="center"/>
        <w:rPr>
          <w:rFonts w:ascii="Times New Roman" w:hAnsi="Times New Roman" w:cs="Times New Roman"/>
          <w:sz w:val="24"/>
          <w:szCs w:val="24"/>
        </w:rPr>
      </w:pPr>
      <w:r w:rsidRPr="00B73A51">
        <w:rPr>
          <w:rFonts w:ascii="Times New Roman" w:hAnsi="Times New Roman" w:cs="Times New Roman"/>
          <w:sz w:val="24"/>
          <w:szCs w:val="24"/>
        </w:rPr>
        <w:t xml:space="preserve">RESOLUTION OF THE BOARD OF SUPERVISORS </w:t>
      </w:r>
    </w:p>
    <w:p w14:paraId="7CC4E40C" w14:textId="77777777" w:rsidR="00B73A51" w:rsidRPr="00B73A51" w:rsidRDefault="00B73A51" w:rsidP="00B73A51">
      <w:pPr>
        <w:spacing w:after="0" w:line="240" w:lineRule="auto"/>
        <w:jc w:val="center"/>
        <w:rPr>
          <w:rFonts w:ascii="Times New Roman" w:hAnsi="Times New Roman" w:cs="Times New Roman"/>
          <w:sz w:val="24"/>
          <w:szCs w:val="24"/>
        </w:rPr>
      </w:pPr>
      <w:r w:rsidRPr="00B73A51">
        <w:rPr>
          <w:rFonts w:ascii="Times New Roman" w:hAnsi="Times New Roman" w:cs="Times New Roman"/>
          <w:sz w:val="24"/>
          <w:szCs w:val="24"/>
        </w:rPr>
        <w:t>OF THE ORANGE COUNTY FLOOD CONTROL DISTRICT</w:t>
      </w:r>
    </w:p>
    <w:p w14:paraId="286DA881" w14:textId="77777777" w:rsidR="00B73A51" w:rsidRPr="00B73A51" w:rsidRDefault="00B73A51" w:rsidP="00B73A51">
      <w:pPr>
        <w:spacing w:after="0" w:line="240" w:lineRule="auto"/>
        <w:jc w:val="center"/>
        <w:rPr>
          <w:rFonts w:ascii="Times New Roman" w:hAnsi="Times New Roman" w:cs="Times New Roman"/>
          <w:sz w:val="24"/>
          <w:szCs w:val="24"/>
        </w:rPr>
      </w:pPr>
      <w:r w:rsidRPr="00B73A51">
        <w:rPr>
          <w:rFonts w:ascii="Times New Roman" w:hAnsi="Times New Roman" w:cs="Times New Roman"/>
          <w:sz w:val="24"/>
          <w:szCs w:val="24"/>
        </w:rPr>
        <w:t>DECLARATION OF EXEMPT SURPLUS LAND</w:t>
      </w:r>
    </w:p>
    <w:p w14:paraId="11E6385B" w14:textId="77777777" w:rsidR="00B73A51" w:rsidRPr="00B73A51" w:rsidRDefault="00B73A51" w:rsidP="00B73A51">
      <w:pPr>
        <w:spacing w:after="0" w:line="240" w:lineRule="auto"/>
        <w:rPr>
          <w:rFonts w:ascii="Times New Roman" w:hAnsi="Times New Roman" w:cs="Times New Roman"/>
          <w:sz w:val="24"/>
          <w:szCs w:val="24"/>
        </w:rPr>
      </w:pPr>
    </w:p>
    <w:p w14:paraId="480CA638" w14:textId="3373430A" w:rsidR="00B73A51" w:rsidRPr="00B73A51" w:rsidRDefault="00FC4A91" w:rsidP="00B73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14</w:t>
      </w:r>
      <w:r w:rsidR="00B73A51" w:rsidRPr="00B73A51">
        <w:rPr>
          <w:rFonts w:ascii="Times New Roman" w:hAnsi="Times New Roman" w:cs="Times New Roman"/>
          <w:sz w:val="24"/>
          <w:szCs w:val="24"/>
        </w:rPr>
        <w:t>, 202</w:t>
      </w:r>
      <w:r w:rsidR="00C03983">
        <w:rPr>
          <w:rFonts w:ascii="Times New Roman" w:hAnsi="Times New Roman" w:cs="Times New Roman"/>
          <w:sz w:val="24"/>
          <w:szCs w:val="24"/>
        </w:rPr>
        <w:t>6</w:t>
      </w:r>
    </w:p>
    <w:p w14:paraId="28517DCC" w14:textId="77777777" w:rsidR="00B73A51" w:rsidRPr="00B73A51" w:rsidRDefault="00B73A51" w:rsidP="00B73A51">
      <w:pPr>
        <w:spacing w:after="0" w:line="240" w:lineRule="auto"/>
        <w:rPr>
          <w:rFonts w:ascii="Times New Roman" w:hAnsi="Times New Roman" w:cs="Times New Roman"/>
          <w:sz w:val="24"/>
          <w:szCs w:val="24"/>
        </w:rPr>
      </w:pPr>
    </w:p>
    <w:p w14:paraId="5953D193" w14:textId="77777777" w:rsidR="00B73A51" w:rsidRPr="00B73A51" w:rsidRDefault="00B73A51" w:rsidP="00B73A51">
      <w:pPr>
        <w:spacing w:after="0" w:line="240" w:lineRule="auto"/>
        <w:rPr>
          <w:rFonts w:ascii="Times New Roman" w:hAnsi="Times New Roman" w:cs="Times New Roman"/>
          <w:sz w:val="24"/>
          <w:szCs w:val="24"/>
        </w:rPr>
      </w:pPr>
    </w:p>
    <w:p w14:paraId="7F9BE5C4" w14:textId="1881C8E9" w:rsidR="00B73A51" w:rsidRPr="00C03983"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WHEREAS, the Orange </w:t>
      </w:r>
      <w:r w:rsidRPr="00C03983">
        <w:rPr>
          <w:rFonts w:ascii="Times New Roman" w:hAnsi="Times New Roman" w:cs="Times New Roman"/>
          <w:color w:val="000000"/>
          <w:sz w:val="23"/>
          <w:szCs w:val="23"/>
        </w:rPr>
        <w:t>County Flood Control District (“</w:t>
      </w:r>
      <w:r w:rsidRPr="00C03983">
        <w:rPr>
          <w:rFonts w:ascii="Times New Roman" w:hAnsi="Times New Roman" w:cs="Times New Roman"/>
          <w:b/>
          <w:bCs/>
          <w:color w:val="000000"/>
          <w:sz w:val="23"/>
          <w:szCs w:val="23"/>
        </w:rPr>
        <w:t>District</w:t>
      </w:r>
      <w:r w:rsidRPr="00C03983">
        <w:rPr>
          <w:rFonts w:ascii="Times New Roman" w:hAnsi="Times New Roman" w:cs="Times New Roman"/>
          <w:color w:val="000000"/>
          <w:sz w:val="23"/>
          <w:szCs w:val="23"/>
        </w:rPr>
        <w:t>”), a body corporate and politic, owns in fee title</w:t>
      </w:r>
      <w:r w:rsidR="00C03983">
        <w:rPr>
          <w:rFonts w:ascii="Times New Roman" w:hAnsi="Times New Roman" w:cs="Times New Roman"/>
          <w:color w:val="000000"/>
          <w:sz w:val="23"/>
          <w:szCs w:val="23"/>
        </w:rPr>
        <w:t xml:space="preserve"> certain real property, which is a portion of the District’s Santa Ana River Channel,</w:t>
      </w:r>
      <w:r w:rsidRPr="00C03983">
        <w:rPr>
          <w:rFonts w:ascii="Times New Roman" w:hAnsi="Times New Roman" w:cs="Times New Roman"/>
          <w:color w:val="000000"/>
          <w:sz w:val="23"/>
          <w:szCs w:val="23"/>
        </w:rPr>
        <w:t xml:space="preserve"> </w:t>
      </w:r>
      <w:r w:rsidR="00C03983" w:rsidRPr="00C03983">
        <w:rPr>
          <w:rFonts w:ascii="Times New Roman" w:hAnsi="Times New Roman" w:cs="Times New Roman"/>
          <w:sz w:val="23"/>
          <w:szCs w:val="23"/>
        </w:rPr>
        <w:t xml:space="preserve">identified as Facility Nos. </w:t>
      </w:r>
      <w:bookmarkStart w:id="0" w:name="_Hlk217892544"/>
      <w:r w:rsidR="00C03983" w:rsidRPr="00C03983">
        <w:rPr>
          <w:rFonts w:ascii="Times New Roman" w:hAnsi="Times New Roman" w:cs="Times New Roman"/>
          <w:sz w:val="23"/>
          <w:szCs w:val="23"/>
        </w:rPr>
        <w:t>E01-1008, 1008.1, 1051.01, 1052.01 and 1053</w:t>
      </w:r>
      <w:bookmarkEnd w:id="0"/>
      <w:r w:rsidR="00C03983" w:rsidRPr="00C03983">
        <w:rPr>
          <w:rFonts w:ascii="Times New Roman" w:hAnsi="Times New Roman" w:cs="Times New Roman"/>
          <w:sz w:val="23"/>
          <w:szCs w:val="23"/>
        </w:rPr>
        <w:t xml:space="preserve"> collectively containing approximately 70 acres (“</w:t>
      </w:r>
      <w:r w:rsidR="00C03983" w:rsidRPr="00C03983">
        <w:rPr>
          <w:rFonts w:ascii="Times New Roman" w:hAnsi="Times New Roman" w:cs="Times New Roman"/>
          <w:b/>
          <w:bCs/>
          <w:sz w:val="23"/>
          <w:szCs w:val="23"/>
        </w:rPr>
        <w:t>District Property</w:t>
      </w:r>
      <w:r w:rsidR="00C03983" w:rsidRPr="00C03983">
        <w:rPr>
          <w:rFonts w:ascii="Times New Roman" w:hAnsi="Times New Roman" w:cs="Times New Roman"/>
          <w:sz w:val="23"/>
          <w:szCs w:val="23"/>
        </w:rPr>
        <w:t>”) located along the Santa Ana River between the 22 freeway and 17</w:t>
      </w:r>
      <w:r w:rsidR="00C03983" w:rsidRPr="00C03983">
        <w:rPr>
          <w:rFonts w:ascii="Times New Roman" w:hAnsi="Times New Roman" w:cs="Times New Roman"/>
          <w:sz w:val="23"/>
          <w:szCs w:val="23"/>
          <w:vertAlign w:val="superscript"/>
        </w:rPr>
        <w:t>th</w:t>
      </w:r>
      <w:r w:rsidR="00C03983" w:rsidRPr="00C03983">
        <w:rPr>
          <w:rFonts w:ascii="Times New Roman" w:hAnsi="Times New Roman" w:cs="Times New Roman"/>
          <w:sz w:val="23"/>
          <w:szCs w:val="23"/>
        </w:rPr>
        <w:t xml:space="preserve"> Street in the City of Santa Ana</w:t>
      </w:r>
      <w:r w:rsidR="00C03983">
        <w:rPr>
          <w:rFonts w:ascii="Times New Roman" w:hAnsi="Times New Roman" w:cs="Times New Roman"/>
          <w:sz w:val="23"/>
          <w:szCs w:val="23"/>
        </w:rPr>
        <w:t xml:space="preserve"> (“</w:t>
      </w:r>
      <w:r w:rsidR="00C03983" w:rsidRPr="00C03983">
        <w:rPr>
          <w:rFonts w:ascii="Times New Roman" w:hAnsi="Times New Roman" w:cs="Times New Roman"/>
          <w:b/>
          <w:bCs/>
          <w:sz w:val="23"/>
          <w:szCs w:val="23"/>
        </w:rPr>
        <w:t>City</w:t>
      </w:r>
      <w:r w:rsidR="00C03983">
        <w:rPr>
          <w:rFonts w:ascii="Times New Roman" w:hAnsi="Times New Roman" w:cs="Times New Roman"/>
          <w:sz w:val="23"/>
          <w:szCs w:val="23"/>
        </w:rPr>
        <w:t>”)</w:t>
      </w:r>
      <w:r w:rsidR="00C03983" w:rsidRPr="00C03983">
        <w:rPr>
          <w:rFonts w:ascii="Times New Roman" w:hAnsi="Times New Roman" w:cs="Times New Roman"/>
          <w:sz w:val="23"/>
          <w:szCs w:val="23"/>
        </w:rPr>
        <w:t>, California</w:t>
      </w:r>
      <w:r w:rsidRPr="00C03983">
        <w:rPr>
          <w:rFonts w:ascii="Times New Roman" w:hAnsi="Times New Roman" w:cs="Times New Roman"/>
          <w:color w:val="000000"/>
          <w:sz w:val="23"/>
          <w:szCs w:val="23"/>
        </w:rPr>
        <w:t xml:space="preserve"> in </w:t>
      </w:r>
      <w:bookmarkStart w:id="1" w:name="_Hlk161300036"/>
      <w:r w:rsidRPr="00C03983">
        <w:rPr>
          <w:rFonts w:ascii="Times New Roman" w:hAnsi="Times New Roman" w:cs="Times New Roman"/>
          <w:color w:val="000000"/>
          <w:sz w:val="23"/>
          <w:szCs w:val="23"/>
          <w:u w:val="single"/>
        </w:rPr>
        <w:t>Exhibit A</w:t>
      </w:r>
      <w:r w:rsidRPr="00C03983">
        <w:rPr>
          <w:rFonts w:ascii="Times New Roman" w:hAnsi="Times New Roman" w:cs="Times New Roman"/>
          <w:color w:val="000000"/>
          <w:sz w:val="23"/>
          <w:szCs w:val="23"/>
        </w:rPr>
        <w:t xml:space="preserve"> (“</w:t>
      </w:r>
      <w:r w:rsidRPr="00C03983">
        <w:rPr>
          <w:rFonts w:ascii="Times New Roman" w:hAnsi="Times New Roman" w:cs="Times New Roman"/>
          <w:b/>
          <w:bCs/>
          <w:color w:val="000000"/>
          <w:sz w:val="23"/>
          <w:szCs w:val="23"/>
        </w:rPr>
        <w:t>Subject Property</w:t>
      </w:r>
      <w:r w:rsidRPr="00C03983">
        <w:rPr>
          <w:rFonts w:ascii="Times New Roman" w:hAnsi="Times New Roman" w:cs="Times New Roman"/>
          <w:color w:val="000000"/>
          <w:sz w:val="23"/>
          <w:szCs w:val="23"/>
        </w:rPr>
        <w:t>”</w:t>
      </w:r>
      <w:bookmarkEnd w:id="1"/>
      <w:r w:rsidRPr="00C03983">
        <w:rPr>
          <w:rFonts w:ascii="Times New Roman" w:hAnsi="Times New Roman" w:cs="Times New Roman"/>
          <w:color w:val="000000"/>
          <w:sz w:val="23"/>
          <w:szCs w:val="23"/>
        </w:rPr>
        <w:t>), attached and incorporated herein; and</w:t>
      </w:r>
    </w:p>
    <w:p w14:paraId="1ACA8997" w14:textId="77777777" w:rsidR="00B73A51" w:rsidRPr="00C03983" w:rsidRDefault="00B73A51" w:rsidP="00B73A51">
      <w:pPr>
        <w:autoSpaceDE w:val="0"/>
        <w:autoSpaceDN w:val="0"/>
        <w:spacing w:after="0" w:line="240" w:lineRule="auto"/>
        <w:ind w:firstLine="720"/>
        <w:rPr>
          <w:rFonts w:ascii="Times New Roman" w:hAnsi="Times New Roman" w:cs="Times New Roman"/>
          <w:color w:val="000000"/>
          <w:sz w:val="23"/>
          <w:szCs w:val="23"/>
        </w:rPr>
      </w:pPr>
    </w:p>
    <w:p w14:paraId="670D2338" w14:textId="411A31BC"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C03983">
        <w:rPr>
          <w:rFonts w:ascii="Times New Roman" w:hAnsi="Times New Roman" w:cs="Times New Roman"/>
          <w:color w:val="000000"/>
          <w:sz w:val="23"/>
          <w:szCs w:val="23"/>
        </w:rPr>
        <w:t xml:space="preserve">WHEREAS, the </w:t>
      </w:r>
      <w:r w:rsidR="00C03983">
        <w:rPr>
          <w:rFonts w:ascii="Times New Roman" w:hAnsi="Times New Roman" w:cs="Times New Roman"/>
          <w:color w:val="000000"/>
          <w:sz w:val="23"/>
          <w:szCs w:val="23"/>
        </w:rPr>
        <w:t xml:space="preserve">Subject Property, in combination with adjacent property owned by the City, has been utilized as part of a golf course through lease agreements since 1961, and the </w:t>
      </w:r>
      <w:r w:rsidRPr="00C03983">
        <w:rPr>
          <w:rFonts w:ascii="Times New Roman" w:hAnsi="Times New Roman" w:cs="Times New Roman"/>
          <w:color w:val="000000"/>
          <w:sz w:val="23"/>
          <w:szCs w:val="23"/>
        </w:rPr>
        <w:t xml:space="preserve">District </w:t>
      </w:r>
      <w:r w:rsidR="00C03983">
        <w:rPr>
          <w:rFonts w:ascii="Times New Roman" w:hAnsi="Times New Roman" w:cs="Times New Roman"/>
          <w:color w:val="000000"/>
          <w:sz w:val="23"/>
          <w:szCs w:val="23"/>
        </w:rPr>
        <w:t>now desires to enter into a further</w:t>
      </w:r>
      <w:r w:rsidRPr="00C03983">
        <w:rPr>
          <w:rFonts w:ascii="Times New Roman" w:hAnsi="Times New Roman" w:cs="Times New Roman"/>
          <w:color w:val="000000"/>
          <w:sz w:val="23"/>
          <w:szCs w:val="23"/>
        </w:rPr>
        <w:t xml:space="preserve"> ground lease (“</w:t>
      </w:r>
      <w:r w:rsidRPr="00C03983">
        <w:rPr>
          <w:rFonts w:ascii="Times New Roman" w:hAnsi="Times New Roman" w:cs="Times New Roman"/>
          <w:b/>
          <w:bCs/>
          <w:color w:val="000000"/>
          <w:sz w:val="23"/>
          <w:szCs w:val="23"/>
        </w:rPr>
        <w:t>Lease</w:t>
      </w:r>
      <w:r w:rsidRPr="00C03983">
        <w:rPr>
          <w:rFonts w:ascii="Times New Roman" w:hAnsi="Times New Roman" w:cs="Times New Roman"/>
          <w:color w:val="000000"/>
          <w:sz w:val="23"/>
          <w:szCs w:val="23"/>
        </w:rPr>
        <w:t xml:space="preserve">”) of the Subject Property </w:t>
      </w:r>
      <w:r w:rsidR="00C03983">
        <w:rPr>
          <w:rFonts w:ascii="Times New Roman" w:hAnsi="Times New Roman" w:cs="Times New Roman"/>
          <w:color w:val="000000"/>
          <w:sz w:val="23"/>
          <w:szCs w:val="23"/>
        </w:rPr>
        <w:t>to the City to continue the existing golf operations</w:t>
      </w:r>
      <w:r w:rsidRPr="00B73A51">
        <w:rPr>
          <w:rFonts w:ascii="Times New Roman" w:hAnsi="Times New Roman" w:cs="Times New Roman"/>
          <w:color w:val="000000"/>
          <w:sz w:val="23"/>
          <w:szCs w:val="23"/>
        </w:rPr>
        <w:t xml:space="preserve">; and </w:t>
      </w:r>
    </w:p>
    <w:p w14:paraId="7E0D127A" w14:textId="77777777"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p>
    <w:p w14:paraId="568ACB2E" w14:textId="10D1ABF4"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WHEREAS, the District shall continue to require access and use of the Subject Property and shall reserve rights within the Lease related to the District’s ongoing needs as a flood control district; and </w:t>
      </w:r>
    </w:p>
    <w:p w14:paraId="25A17D1A" w14:textId="77777777"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p>
    <w:p w14:paraId="3F491CAC" w14:textId="6151E30B"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WHEREAS, the Orange County Flood Control Act (“</w:t>
      </w:r>
      <w:r w:rsidRPr="00B73A51">
        <w:rPr>
          <w:rFonts w:ascii="Times New Roman" w:hAnsi="Times New Roman" w:cs="Times New Roman"/>
          <w:b/>
          <w:bCs/>
          <w:color w:val="000000"/>
          <w:sz w:val="23"/>
          <w:szCs w:val="23"/>
        </w:rPr>
        <w:t>Flood Control Act</w:t>
      </w:r>
      <w:r w:rsidRPr="00B73A51">
        <w:rPr>
          <w:rFonts w:ascii="Times New Roman" w:hAnsi="Times New Roman" w:cs="Times New Roman"/>
          <w:color w:val="000000"/>
          <w:sz w:val="23"/>
          <w:szCs w:val="23"/>
        </w:rPr>
        <w:t>”) requires that this Board make certain findings in order to lease the Subject Property; and</w:t>
      </w:r>
    </w:p>
    <w:p w14:paraId="72DDBE3C" w14:textId="77777777"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p>
    <w:p w14:paraId="3FD7F623" w14:textId="527D9248"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WHEREAS, the proposed Lease shall include terms and conditions designed to ensure that use of the Subject Property will not unreasonably interfere with flood control uses and purposes; and</w:t>
      </w:r>
    </w:p>
    <w:p w14:paraId="5B0A7DBF" w14:textId="77777777"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p>
    <w:p w14:paraId="3C86EAD8" w14:textId="77777777"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proofErr w:type="gramStart"/>
      <w:r w:rsidRPr="00B73A51">
        <w:rPr>
          <w:rFonts w:ascii="Times New Roman" w:hAnsi="Times New Roman" w:cs="Times New Roman"/>
          <w:color w:val="000000"/>
          <w:sz w:val="23"/>
          <w:szCs w:val="23"/>
        </w:rPr>
        <w:t>WHEREAS,</w:t>
      </w:r>
      <w:proofErr w:type="gramEnd"/>
      <w:r w:rsidRPr="00B73A51">
        <w:rPr>
          <w:rFonts w:ascii="Times New Roman" w:hAnsi="Times New Roman" w:cs="Times New Roman"/>
          <w:color w:val="000000"/>
          <w:sz w:val="23"/>
          <w:szCs w:val="23"/>
        </w:rPr>
        <w:t xml:space="preserve"> the Surplus Land Act (Government Code § 54220, </w:t>
      </w:r>
      <w:r w:rsidRPr="00B73A51">
        <w:rPr>
          <w:rFonts w:ascii="Times New Roman" w:hAnsi="Times New Roman" w:cs="Times New Roman"/>
          <w:i/>
          <w:iCs/>
          <w:color w:val="000000"/>
          <w:sz w:val="23"/>
          <w:szCs w:val="23"/>
        </w:rPr>
        <w:t>et seq.</w:t>
      </w:r>
      <w:r w:rsidRPr="00B73A51">
        <w:rPr>
          <w:rFonts w:ascii="Times New Roman" w:hAnsi="Times New Roman" w:cs="Times New Roman"/>
          <w:color w:val="000000"/>
          <w:sz w:val="23"/>
          <w:szCs w:val="23"/>
        </w:rPr>
        <w:t>, the “</w:t>
      </w:r>
      <w:r w:rsidRPr="00B73A51">
        <w:rPr>
          <w:rFonts w:ascii="Times New Roman" w:hAnsi="Times New Roman" w:cs="Times New Roman"/>
          <w:b/>
          <w:bCs/>
          <w:color w:val="000000"/>
          <w:sz w:val="23"/>
          <w:szCs w:val="23"/>
        </w:rPr>
        <w:t>Surplus Land Act</w:t>
      </w:r>
      <w:r w:rsidRPr="00B73A51">
        <w:rPr>
          <w:rFonts w:ascii="Times New Roman" w:hAnsi="Times New Roman" w:cs="Times New Roman"/>
          <w:color w:val="000000"/>
          <w:sz w:val="23"/>
          <w:szCs w:val="23"/>
        </w:rPr>
        <w:t xml:space="preserve">”) requires that before a local agency </w:t>
      </w:r>
      <w:proofErr w:type="gramStart"/>
      <w:r w:rsidRPr="00B73A51">
        <w:rPr>
          <w:rFonts w:ascii="Times New Roman" w:hAnsi="Times New Roman" w:cs="Times New Roman"/>
          <w:color w:val="000000"/>
          <w:sz w:val="23"/>
          <w:szCs w:val="23"/>
        </w:rPr>
        <w:t>takes action</w:t>
      </w:r>
      <w:proofErr w:type="gramEnd"/>
      <w:r w:rsidRPr="00B73A51">
        <w:rPr>
          <w:rFonts w:ascii="Times New Roman" w:hAnsi="Times New Roman" w:cs="Times New Roman"/>
          <w:color w:val="000000"/>
          <w:sz w:val="23"/>
          <w:szCs w:val="23"/>
        </w:rPr>
        <w:t xml:space="preserve"> to “dispose of” land, the local agency must declare the property to be either “surplus land” or “exempt surplus land;” and </w:t>
      </w:r>
    </w:p>
    <w:p w14:paraId="1EEC2DDF" w14:textId="77777777" w:rsidR="00B73A51" w:rsidRPr="00B73A51" w:rsidRDefault="00B73A51" w:rsidP="00B73A51">
      <w:pPr>
        <w:autoSpaceDE w:val="0"/>
        <w:autoSpaceDN w:val="0"/>
        <w:spacing w:after="0" w:line="240" w:lineRule="auto"/>
        <w:rPr>
          <w:rFonts w:ascii="Times New Roman" w:hAnsi="Times New Roman" w:cs="Times New Roman"/>
          <w:color w:val="000000"/>
          <w:sz w:val="23"/>
          <w:szCs w:val="23"/>
        </w:rPr>
      </w:pPr>
    </w:p>
    <w:p w14:paraId="65A88FD6" w14:textId="77777777" w:rsidR="00B73A51" w:rsidRPr="00B73A51" w:rsidRDefault="00B73A51" w:rsidP="00B73A51">
      <w:pPr>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WHEREAS, the District is a “local agency” and a “district,” as those terms are defined by the Surplus Land Act; and</w:t>
      </w:r>
    </w:p>
    <w:p w14:paraId="0EA2FE0E" w14:textId="77777777" w:rsidR="00B73A51" w:rsidRPr="00B73A51" w:rsidRDefault="00B73A51" w:rsidP="00B73A51">
      <w:pPr>
        <w:spacing w:after="0" w:line="240" w:lineRule="auto"/>
        <w:ind w:firstLine="720"/>
        <w:rPr>
          <w:rFonts w:ascii="Calibri" w:hAnsi="Calibri" w:cs="Calibri"/>
          <w14:ligatures w14:val="standardContextual"/>
        </w:rPr>
      </w:pPr>
    </w:p>
    <w:p w14:paraId="1DF9157C" w14:textId="5EC6E580"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WHEREAS, the Subject Property may fall outside the scope of the Surplus Land Act because it is not “surplus land” and the Subject Property will remain necessary through the Lease to serve the District’s operational and statutory obligations as a flood control district and such uses are described in the Surplus Land Act as an “agency’s use;” and </w:t>
      </w:r>
    </w:p>
    <w:p w14:paraId="77BA0AF0" w14:textId="77777777" w:rsidR="00B73A51" w:rsidRPr="00B73A51" w:rsidRDefault="00B73A51" w:rsidP="00B73A51">
      <w:pPr>
        <w:autoSpaceDE w:val="0"/>
        <w:autoSpaceDN w:val="0"/>
        <w:spacing w:after="0" w:line="240" w:lineRule="auto"/>
        <w:rPr>
          <w:rFonts w:ascii="Times New Roman" w:hAnsi="Times New Roman" w:cs="Times New Roman"/>
          <w:color w:val="000000"/>
          <w:sz w:val="23"/>
          <w:szCs w:val="23"/>
        </w:rPr>
      </w:pPr>
    </w:p>
    <w:p w14:paraId="374291AC" w14:textId="45714854"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WHEREAS, pursuant to Government Code Section 54221(c), the Surplus Land Act recognizes and authorizes “agency uses” of land by a district to include uses pursuant to a written plan adopted by its governing board to support agency work or operations (Government Code section 54221(c)(1)) and those activities consistent with the Lease, such as uses or activities that support the public recreational uses of the Subject Property, including nongovernmental retail, </w:t>
      </w:r>
      <w:r w:rsidR="00C03983">
        <w:rPr>
          <w:rFonts w:ascii="Times New Roman" w:hAnsi="Times New Roman" w:cs="Times New Roman"/>
          <w:color w:val="000000"/>
          <w:sz w:val="23"/>
          <w:szCs w:val="23"/>
        </w:rPr>
        <w:t xml:space="preserve">or </w:t>
      </w:r>
      <w:r w:rsidRPr="00B73A51">
        <w:rPr>
          <w:rFonts w:ascii="Times New Roman" w:hAnsi="Times New Roman" w:cs="Times New Roman"/>
          <w:color w:val="000000"/>
          <w:sz w:val="23"/>
          <w:szCs w:val="23"/>
        </w:rPr>
        <w:t xml:space="preserve">entertainment development or be for the sole </w:t>
      </w:r>
      <w:r w:rsidRPr="00B73A51">
        <w:rPr>
          <w:rFonts w:ascii="Times New Roman" w:hAnsi="Times New Roman" w:cs="Times New Roman"/>
          <w:color w:val="000000"/>
          <w:sz w:val="23"/>
          <w:szCs w:val="23"/>
        </w:rPr>
        <w:lastRenderedPageBreak/>
        <w:t xml:space="preserve">purpose of investment or generation of revenue (Government Code section 54221(c)(2)(B)) if the district’s governing body takes action in a public meeting declaring that the use of the land will directly further the express purpose of the district’s work or operations; and </w:t>
      </w:r>
    </w:p>
    <w:p w14:paraId="0FDB5053" w14:textId="77777777" w:rsidR="00B73A51" w:rsidRPr="00B73A51" w:rsidRDefault="00B73A51" w:rsidP="00B73A51">
      <w:pPr>
        <w:spacing w:after="0" w:line="240" w:lineRule="auto"/>
        <w:rPr>
          <w:rFonts w:ascii="Times New Roman" w:hAnsi="Times New Roman" w:cs="Times New Roman"/>
          <w:color w:val="000000"/>
          <w:sz w:val="23"/>
          <w:szCs w:val="23"/>
        </w:rPr>
      </w:pPr>
    </w:p>
    <w:p w14:paraId="6BA535A6" w14:textId="77777777"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WHEREAS, the Subject Property is real property to be used by a district for an “agency’s use” expressly authorized in Government Code Section 54221(c); and </w:t>
      </w:r>
    </w:p>
    <w:p w14:paraId="3C0815AB" w14:textId="77777777" w:rsidR="00B73A51" w:rsidRPr="00B73A51" w:rsidRDefault="00B73A51" w:rsidP="00B73A51">
      <w:pPr>
        <w:autoSpaceDE w:val="0"/>
        <w:autoSpaceDN w:val="0"/>
        <w:spacing w:after="0" w:line="240" w:lineRule="auto"/>
        <w:rPr>
          <w:rFonts w:ascii="Times New Roman" w:hAnsi="Times New Roman" w:cs="Times New Roman"/>
          <w:color w:val="000000"/>
          <w:sz w:val="23"/>
          <w:szCs w:val="23"/>
        </w:rPr>
      </w:pPr>
    </w:p>
    <w:p w14:paraId="1D341E69" w14:textId="77777777" w:rsidR="00B73A51" w:rsidRPr="00B73A51" w:rsidRDefault="00B73A51" w:rsidP="00B73A51">
      <w:pPr>
        <w:autoSpaceDE w:val="0"/>
        <w:autoSpaceDN w:val="0"/>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WHEREAS, pursuant to Government Code section 54221(f)(1)(N), the Surplus Land Act deems “Real property that is used by a district for an “agency’s use” expressly authorized in subdivision (c) [of Government Code Section 54221]” to be “exempt surplus land”; and </w:t>
      </w:r>
    </w:p>
    <w:p w14:paraId="737F5B16" w14:textId="77777777" w:rsidR="00B73A51" w:rsidRPr="00B73A51" w:rsidRDefault="00B73A51" w:rsidP="00B73A51">
      <w:pPr>
        <w:spacing w:after="0" w:line="240" w:lineRule="auto"/>
        <w:rPr>
          <w:rFonts w:ascii="Times New Roman" w:hAnsi="Times New Roman" w:cs="Times New Roman"/>
          <w:color w:val="000000"/>
          <w:sz w:val="23"/>
          <w:szCs w:val="23"/>
        </w:rPr>
      </w:pPr>
    </w:p>
    <w:p w14:paraId="77D65CFD" w14:textId="46055A0D" w:rsidR="00B73A51" w:rsidRPr="00B73A51" w:rsidRDefault="00B73A51" w:rsidP="00B73A51">
      <w:pPr>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WHEREAS, the </w:t>
      </w:r>
      <w:r w:rsidR="00C03983">
        <w:rPr>
          <w:rFonts w:ascii="Times New Roman" w:hAnsi="Times New Roman" w:cs="Times New Roman"/>
          <w:color w:val="000000"/>
          <w:sz w:val="23"/>
          <w:szCs w:val="23"/>
        </w:rPr>
        <w:t>Lease is</w:t>
      </w:r>
      <w:r w:rsidRPr="00B73A51">
        <w:rPr>
          <w:rFonts w:ascii="Times New Roman" w:hAnsi="Times New Roman" w:cs="Times New Roman"/>
          <w:color w:val="000000"/>
          <w:sz w:val="23"/>
          <w:szCs w:val="23"/>
        </w:rPr>
        <w:t xml:space="preserve"> specifically designed to allow an “agency’s use” at the Subject Property and to uphold the District’s operations and statutory duties consistent with uses expressly authorized in Government Code Section 54221(c)</w:t>
      </w:r>
      <w:r w:rsidR="00967D96">
        <w:rPr>
          <w:rFonts w:ascii="Times New Roman" w:hAnsi="Times New Roman" w:cs="Times New Roman"/>
          <w:color w:val="000000"/>
          <w:sz w:val="23"/>
          <w:szCs w:val="23"/>
        </w:rPr>
        <w:t>; and</w:t>
      </w:r>
    </w:p>
    <w:p w14:paraId="75BA5BCE" w14:textId="77777777" w:rsidR="00B73A51" w:rsidRDefault="00B73A51" w:rsidP="00B73A51">
      <w:pPr>
        <w:spacing w:after="0" w:line="240" w:lineRule="auto"/>
        <w:rPr>
          <w:rFonts w:ascii="Times New Roman" w:hAnsi="Times New Roman" w:cs="Times New Roman"/>
          <w:color w:val="000000"/>
          <w:sz w:val="23"/>
          <w:szCs w:val="23"/>
        </w:rPr>
      </w:pPr>
    </w:p>
    <w:p w14:paraId="16EAA579" w14:textId="77698927" w:rsidR="0034225A" w:rsidRDefault="0034225A" w:rsidP="0034225A">
      <w:pPr>
        <w:spacing w:after="0" w:line="240" w:lineRule="auto"/>
        <w:ind w:firstLine="72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WHEREAS, the </w:t>
      </w:r>
      <w:r>
        <w:rPr>
          <w:rFonts w:ascii="Times New Roman" w:hAnsi="Times New Roman" w:cs="Times New Roman"/>
          <w:color w:val="000000"/>
          <w:sz w:val="23"/>
          <w:szCs w:val="23"/>
        </w:rPr>
        <w:t>City</w:t>
      </w:r>
      <w:r w:rsidRPr="00B73A51">
        <w:rPr>
          <w:rFonts w:ascii="Times New Roman" w:hAnsi="Times New Roman" w:cs="Times New Roman"/>
          <w:color w:val="000000"/>
          <w:sz w:val="23"/>
          <w:szCs w:val="23"/>
        </w:rPr>
        <w:t xml:space="preserve"> is a “local agency” </w:t>
      </w:r>
      <w:r>
        <w:rPr>
          <w:rFonts w:ascii="Times New Roman" w:hAnsi="Times New Roman" w:cs="Times New Roman"/>
          <w:color w:val="000000"/>
          <w:sz w:val="23"/>
          <w:szCs w:val="23"/>
        </w:rPr>
        <w:t>a</w:t>
      </w:r>
      <w:r w:rsidRPr="00B73A51">
        <w:rPr>
          <w:rFonts w:ascii="Times New Roman" w:hAnsi="Times New Roman" w:cs="Times New Roman"/>
          <w:color w:val="000000"/>
          <w:sz w:val="23"/>
          <w:szCs w:val="23"/>
        </w:rPr>
        <w:t>s defined by the Surplus Land Act; and</w:t>
      </w:r>
    </w:p>
    <w:p w14:paraId="7ACA3555" w14:textId="77777777" w:rsidR="0034225A" w:rsidRDefault="0034225A" w:rsidP="0034225A">
      <w:pPr>
        <w:spacing w:after="0" w:line="240" w:lineRule="auto"/>
        <w:ind w:firstLine="720"/>
        <w:rPr>
          <w:rFonts w:ascii="Times New Roman" w:hAnsi="Times New Roman" w:cs="Times New Roman"/>
          <w:color w:val="000000"/>
          <w:sz w:val="23"/>
          <w:szCs w:val="23"/>
        </w:rPr>
      </w:pPr>
    </w:p>
    <w:p w14:paraId="3B7ACBB8" w14:textId="02FE2FE7" w:rsidR="0034225A" w:rsidRPr="00B73A51" w:rsidRDefault="0034225A" w:rsidP="0034225A">
      <w:pPr>
        <w:spacing w:after="0" w:line="24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WHEREAS, the Lease will dispose of the District Property by transfer of a leasehold estate from the District to the City; and  </w:t>
      </w:r>
    </w:p>
    <w:p w14:paraId="1FFC13DC" w14:textId="77777777" w:rsidR="0034225A" w:rsidRDefault="0034225A" w:rsidP="00B73A51">
      <w:pPr>
        <w:spacing w:after="0" w:line="240" w:lineRule="auto"/>
        <w:rPr>
          <w:rFonts w:ascii="Times New Roman" w:hAnsi="Times New Roman" w:cs="Times New Roman"/>
          <w:color w:val="000000"/>
          <w:sz w:val="23"/>
          <w:szCs w:val="23"/>
        </w:rPr>
      </w:pPr>
    </w:p>
    <w:p w14:paraId="7A751881" w14:textId="2D926933" w:rsidR="0034225A" w:rsidRDefault="0034225A" w:rsidP="00B73A51">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Pr="00B73A51">
        <w:rPr>
          <w:rFonts w:ascii="Times New Roman" w:hAnsi="Times New Roman" w:cs="Times New Roman"/>
          <w:color w:val="000000"/>
          <w:sz w:val="23"/>
          <w:szCs w:val="23"/>
        </w:rPr>
        <w:t>WHEREAS</w:t>
      </w:r>
      <w:r>
        <w:rPr>
          <w:rFonts w:ascii="Times New Roman" w:hAnsi="Times New Roman" w:cs="Times New Roman"/>
          <w:color w:val="000000"/>
          <w:sz w:val="23"/>
          <w:szCs w:val="23"/>
        </w:rPr>
        <w:t xml:space="preserve">, the Surplus Land Act specifically deems surplus land that will be transferred from one </w:t>
      </w:r>
      <w:r w:rsidRPr="0034225A">
        <w:rPr>
          <w:rFonts w:ascii="Times New Roman" w:hAnsi="Times New Roman" w:cs="Times New Roman"/>
          <w:color w:val="000000"/>
          <w:sz w:val="23"/>
          <w:szCs w:val="23"/>
        </w:rPr>
        <w:t xml:space="preserve">a local agency </w:t>
      </w:r>
      <w:r>
        <w:rPr>
          <w:rFonts w:ascii="Times New Roman" w:hAnsi="Times New Roman" w:cs="Times New Roman"/>
          <w:color w:val="000000"/>
          <w:sz w:val="23"/>
          <w:szCs w:val="23"/>
        </w:rPr>
        <w:t xml:space="preserve">to another local agency for the receiving agency’s use to be “exempt surplus land” and the City will use the Subject Property for an agency use through the provision of </w:t>
      </w:r>
      <w:r w:rsidR="00103D92">
        <w:rPr>
          <w:rFonts w:ascii="Times New Roman" w:hAnsi="Times New Roman" w:cs="Times New Roman"/>
          <w:color w:val="000000"/>
          <w:sz w:val="23"/>
          <w:szCs w:val="23"/>
        </w:rPr>
        <w:t xml:space="preserve">public </w:t>
      </w:r>
      <w:r>
        <w:rPr>
          <w:rFonts w:ascii="Times New Roman" w:hAnsi="Times New Roman" w:cs="Times New Roman"/>
          <w:color w:val="000000"/>
          <w:sz w:val="23"/>
          <w:szCs w:val="23"/>
        </w:rPr>
        <w:t xml:space="preserve">park and recreational activities.  </w:t>
      </w:r>
    </w:p>
    <w:p w14:paraId="511C190E" w14:textId="77777777" w:rsidR="0034225A" w:rsidRPr="00B73A51" w:rsidRDefault="0034225A" w:rsidP="00B73A51">
      <w:pPr>
        <w:spacing w:after="0" w:line="240" w:lineRule="auto"/>
        <w:rPr>
          <w:rFonts w:ascii="Times New Roman" w:hAnsi="Times New Roman" w:cs="Times New Roman"/>
          <w:color w:val="000000"/>
          <w:sz w:val="23"/>
          <w:szCs w:val="23"/>
        </w:rPr>
      </w:pPr>
    </w:p>
    <w:p w14:paraId="0960DE75" w14:textId="77777777" w:rsidR="00B73A51" w:rsidRPr="00B73A51" w:rsidRDefault="00B73A51" w:rsidP="00B73A51">
      <w:pPr>
        <w:autoSpaceDE w:val="0"/>
        <w:autoSpaceDN w:val="0"/>
        <w:spacing w:after="0" w:line="240" w:lineRule="auto"/>
        <w:ind w:firstLine="360"/>
        <w:rPr>
          <w:rFonts w:ascii="Times New Roman" w:hAnsi="Times New Roman" w:cs="Times New Roman"/>
          <w:color w:val="000000"/>
          <w:sz w:val="23"/>
          <w:szCs w:val="23"/>
        </w:rPr>
      </w:pPr>
      <w:r w:rsidRPr="00B73A51">
        <w:rPr>
          <w:rFonts w:ascii="Times New Roman" w:hAnsi="Times New Roman" w:cs="Times New Roman"/>
          <w:color w:val="000000"/>
          <w:sz w:val="23"/>
          <w:szCs w:val="23"/>
        </w:rPr>
        <w:t xml:space="preserve">NOW, THEREFORE, BE IT RESOLVED that this Board does hereby: </w:t>
      </w:r>
    </w:p>
    <w:p w14:paraId="6442E247" w14:textId="77777777" w:rsidR="00B73A51" w:rsidRPr="00B73A51" w:rsidRDefault="00B73A51" w:rsidP="00B73A51">
      <w:pPr>
        <w:autoSpaceDE w:val="0"/>
        <w:autoSpaceDN w:val="0"/>
        <w:spacing w:after="0" w:line="240" w:lineRule="auto"/>
        <w:ind w:firstLine="360"/>
        <w:rPr>
          <w:rFonts w:ascii="Times New Roman" w:hAnsi="Times New Roman" w:cs="Times New Roman"/>
          <w:color w:val="000000"/>
          <w:sz w:val="23"/>
          <w:szCs w:val="23"/>
        </w:rPr>
      </w:pPr>
    </w:p>
    <w:p w14:paraId="74EFAB56" w14:textId="461959BF" w:rsidR="00B73A51" w:rsidRPr="00B73A51" w:rsidRDefault="00B73A51" w:rsidP="00B73A51">
      <w:pPr>
        <w:numPr>
          <w:ilvl w:val="0"/>
          <w:numId w:val="1"/>
        </w:numPr>
        <w:autoSpaceDE w:val="0"/>
        <w:autoSpaceDN w:val="0"/>
        <w:spacing w:after="0" w:line="240" w:lineRule="auto"/>
        <w:rPr>
          <w:rFonts w:ascii="Times New Roman" w:hAnsi="Times New Roman" w:cs="Times New Roman"/>
          <w:color w:val="000000"/>
          <w:sz w:val="23"/>
          <w:szCs w:val="23"/>
        </w:rPr>
      </w:pPr>
      <w:r w:rsidRPr="00B73A51">
        <w:rPr>
          <w:rFonts w:ascii="Times New Roman" w:hAnsi="Times New Roman" w:cs="Times New Roman"/>
          <w:color w:val="000000"/>
          <w:sz w:val="23"/>
          <w:szCs w:val="23"/>
        </w:rPr>
        <w:t>Declare that the Lease for the Subject Property resulting in the District reserving its rights for access and use of the Subject Property for flood control uses will directly further the express purpose of the District’s operations and statutory duties, work, and operations, and will not</w:t>
      </w:r>
      <w:r w:rsidRPr="00B73A51">
        <w:rPr>
          <w:rFonts w:ascii="Times New Roman" w:hAnsi="Times New Roman" w:cs="Times New Roman"/>
          <w:sz w:val="23"/>
          <w:szCs w:val="23"/>
        </w:rPr>
        <w:t xml:space="preserve"> conflict with the uses and purposes of District or interfere with routine maintenance of the District’s facilities</w:t>
      </w:r>
      <w:r w:rsidRPr="00B73A51">
        <w:rPr>
          <w:rFonts w:ascii="Times New Roman" w:hAnsi="Times New Roman" w:cs="Times New Roman"/>
          <w:color w:val="000000"/>
          <w:sz w:val="23"/>
          <w:szCs w:val="23"/>
        </w:rPr>
        <w:t>.</w:t>
      </w:r>
    </w:p>
    <w:p w14:paraId="298CF183" w14:textId="77777777" w:rsidR="00B73A51" w:rsidRPr="00B73A51" w:rsidRDefault="00B73A51" w:rsidP="00B73A51">
      <w:pPr>
        <w:spacing w:after="0" w:line="240" w:lineRule="auto"/>
        <w:rPr>
          <w:rFonts w:ascii="Times New Roman" w:hAnsi="Times New Roman" w:cs="Times New Roman"/>
          <w:color w:val="000000"/>
          <w:sz w:val="23"/>
          <w:szCs w:val="23"/>
        </w:rPr>
      </w:pPr>
    </w:p>
    <w:p w14:paraId="1F19FE64" w14:textId="4B6A39B4" w:rsidR="00B73A51" w:rsidRPr="00B73A51" w:rsidRDefault="00B73A51" w:rsidP="00B73A51">
      <w:pPr>
        <w:numPr>
          <w:ilvl w:val="0"/>
          <w:numId w:val="1"/>
        </w:numPr>
        <w:spacing w:after="0" w:line="240" w:lineRule="auto"/>
        <w:rPr>
          <w:rFonts w:ascii="Times New Roman" w:hAnsi="Times New Roman" w:cs="Times New Roman"/>
          <w:color w:val="000000"/>
          <w:sz w:val="23"/>
          <w:szCs w:val="23"/>
        </w:rPr>
      </w:pPr>
      <w:r w:rsidRPr="00B73A51">
        <w:rPr>
          <w:rFonts w:ascii="Times New Roman" w:hAnsi="Times New Roman" w:cs="Times New Roman"/>
          <w:color w:val="000000"/>
          <w:sz w:val="23"/>
          <w:szCs w:val="23"/>
        </w:rPr>
        <w:t>Find that the Lease of the Subject Property is compatible with the District’s work and operations on the Subject Property and will not interfere with routine maintenance of any District facilities located therein.</w:t>
      </w:r>
    </w:p>
    <w:p w14:paraId="434106F6" w14:textId="77777777" w:rsidR="00B73A51" w:rsidRPr="00B73A51" w:rsidRDefault="00B73A51" w:rsidP="00B73A51">
      <w:pPr>
        <w:spacing w:after="0" w:line="240" w:lineRule="auto"/>
        <w:ind w:left="720"/>
        <w:contextualSpacing/>
        <w:rPr>
          <w:rFonts w:ascii="Times New Roman" w:hAnsi="Times New Roman" w:cs="Times New Roman"/>
          <w:color w:val="000000"/>
          <w:sz w:val="23"/>
          <w:szCs w:val="23"/>
        </w:rPr>
      </w:pPr>
    </w:p>
    <w:p w14:paraId="30B4F3E5" w14:textId="20B5D3BA" w:rsidR="00B73A51" w:rsidRPr="00B73A51" w:rsidRDefault="00B73A51" w:rsidP="00B73A51">
      <w:pPr>
        <w:numPr>
          <w:ilvl w:val="0"/>
          <w:numId w:val="1"/>
        </w:numPr>
        <w:spacing w:after="0" w:line="240" w:lineRule="auto"/>
        <w:jc w:val="both"/>
        <w:rPr>
          <w:rFonts w:ascii="Times New Roman" w:hAnsi="Times New Roman" w:cs="Times New Roman"/>
          <w:sz w:val="23"/>
          <w:szCs w:val="23"/>
        </w:rPr>
      </w:pPr>
      <w:r w:rsidRPr="00B73A51">
        <w:rPr>
          <w:rFonts w:ascii="Times New Roman" w:hAnsi="Times New Roman" w:cs="Times New Roman"/>
          <w:sz w:val="23"/>
          <w:szCs w:val="23"/>
        </w:rPr>
        <w:t>The Lease is compatible with the City’s General Plan for the subject area within which the Subject Property is located.</w:t>
      </w:r>
    </w:p>
    <w:p w14:paraId="28FD5A94" w14:textId="77777777" w:rsidR="00B73A51" w:rsidRPr="00B73A51" w:rsidRDefault="00B73A51" w:rsidP="00B73A51">
      <w:pPr>
        <w:spacing w:after="0" w:line="240" w:lineRule="auto"/>
        <w:jc w:val="both"/>
        <w:rPr>
          <w:rFonts w:ascii="Times New Roman" w:hAnsi="Times New Roman" w:cs="Times New Roman"/>
          <w:sz w:val="23"/>
          <w:szCs w:val="23"/>
        </w:rPr>
      </w:pPr>
    </w:p>
    <w:p w14:paraId="1A88B70F" w14:textId="73708C0C" w:rsidR="00B73A51" w:rsidRPr="00B73A51" w:rsidRDefault="00B73A51" w:rsidP="00B73A51">
      <w:pPr>
        <w:numPr>
          <w:ilvl w:val="0"/>
          <w:numId w:val="1"/>
        </w:numPr>
        <w:spacing w:after="0" w:line="240" w:lineRule="auto"/>
        <w:rPr>
          <w:rFonts w:ascii="Times New Roman" w:hAnsi="Times New Roman" w:cs="Times New Roman"/>
          <w:color w:val="000000"/>
          <w:sz w:val="23"/>
          <w:szCs w:val="23"/>
        </w:rPr>
      </w:pPr>
      <w:r w:rsidRPr="00B73A51">
        <w:rPr>
          <w:rFonts w:ascii="Times New Roman" w:hAnsi="Times New Roman" w:cs="Times New Roman"/>
          <w:sz w:val="23"/>
          <w:szCs w:val="23"/>
        </w:rPr>
        <w:t>The Lease is compatible with the City’s zoning ordinances, regulations and policies adopted for the subject area.</w:t>
      </w:r>
    </w:p>
    <w:p w14:paraId="09E38562" w14:textId="77777777" w:rsidR="00B73A51" w:rsidRPr="00B73A51" w:rsidRDefault="00B73A51" w:rsidP="00B73A51">
      <w:pPr>
        <w:autoSpaceDE w:val="0"/>
        <w:autoSpaceDN w:val="0"/>
        <w:spacing w:after="0" w:line="240" w:lineRule="auto"/>
        <w:ind w:left="360"/>
        <w:rPr>
          <w:rFonts w:ascii="Times New Roman" w:hAnsi="Times New Roman" w:cs="Times New Roman"/>
          <w:color w:val="000000"/>
          <w:sz w:val="23"/>
          <w:szCs w:val="23"/>
        </w:rPr>
      </w:pPr>
    </w:p>
    <w:p w14:paraId="7880A64A" w14:textId="4BFE691D" w:rsidR="00B73A51" w:rsidRPr="00B73A51" w:rsidRDefault="00B73A51" w:rsidP="00B73A51">
      <w:pPr>
        <w:numPr>
          <w:ilvl w:val="0"/>
          <w:numId w:val="1"/>
        </w:numPr>
        <w:autoSpaceDE w:val="0"/>
        <w:autoSpaceDN w:val="0"/>
        <w:spacing w:after="0" w:line="240" w:lineRule="auto"/>
        <w:rPr>
          <w:rFonts w:ascii="Times New Roman" w:eastAsia="Times New Roman" w:hAnsi="Times New Roman" w:cs="Times New Roman"/>
          <w:color w:val="000000"/>
          <w:sz w:val="23"/>
          <w:szCs w:val="23"/>
        </w:rPr>
      </w:pPr>
      <w:r w:rsidRPr="00B73A51">
        <w:rPr>
          <w:rFonts w:ascii="Times New Roman" w:eastAsia="Times New Roman" w:hAnsi="Times New Roman" w:cs="Times New Roman"/>
          <w:color w:val="000000"/>
          <w:sz w:val="23"/>
          <w:szCs w:val="23"/>
        </w:rPr>
        <w:t xml:space="preserve">Declare that the Lease will result in an “agency’s use” for the Subject Property and therefore the Subject Property is not subject to the Act because the Subject Property will be utilized for an agency use and is not “surplus.” </w:t>
      </w:r>
    </w:p>
    <w:p w14:paraId="7A784CBB" w14:textId="77777777" w:rsidR="00B73A51" w:rsidRPr="00B73A51" w:rsidRDefault="00B73A51" w:rsidP="00B73A51">
      <w:pPr>
        <w:spacing w:after="0" w:line="240" w:lineRule="auto"/>
        <w:ind w:left="720"/>
        <w:rPr>
          <w:rFonts w:ascii="Times New Roman" w:eastAsia="Times New Roman" w:hAnsi="Times New Roman" w:cs="Times New Roman"/>
          <w:sz w:val="23"/>
          <w:szCs w:val="23"/>
        </w:rPr>
      </w:pPr>
    </w:p>
    <w:p w14:paraId="742498D8" w14:textId="565C8288" w:rsidR="00B73A51" w:rsidRPr="00B73A51" w:rsidRDefault="00B73A51" w:rsidP="00B73A51">
      <w:pPr>
        <w:numPr>
          <w:ilvl w:val="0"/>
          <w:numId w:val="1"/>
        </w:numPr>
        <w:autoSpaceDE w:val="0"/>
        <w:autoSpaceDN w:val="0"/>
        <w:spacing w:after="0" w:line="240" w:lineRule="auto"/>
        <w:rPr>
          <w:rFonts w:ascii="Times New Roman" w:hAnsi="Times New Roman" w:cs="Times New Roman"/>
          <w:color w:val="000000"/>
          <w:sz w:val="23"/>
          <w:szCs w:val="23"/>
        </w:rPr>
      </w:pPr>
      <w:r w:rsidRPr="00B73A51">
        <w:rPr>
          <w:rFonts w:ascii="Times New Roman" w:hAnsi="Times New Roman" w:cs="Times New Roman"/>
          <w:sz w:val="23"/>
          <w:szCs w:val="23"/>
        </w:rPr>
        <w:lastRenderedPageBreak/>
        <w:t xml:space="preserve">Notwithstanding the preceding declaration, declare that the Subject Property is “exempt surplus land” pursuant to Government Code Section 54221(f)(1)(N) because the Subject Property </w:t>
      </w:r>
      <w:r w:rsidRPr="00B73A51">
        <w:rPr>
          <w:rFonts w:ascii="Times New Roman" w:hAnsi="Times New Roman" w:cs="Times New Roman"/>
          <w:color w:val="000000"/>
          <w:sz w:val="23"/>
          <w:szCs w:val="23"/>
        </w:rPr>
        <w:t>is real property used by a district for “agency use” expressly authorized in subdivision (c) of Government Code section 54221</w:t>
      </w:r>
      <w:r w:rsidR="0034225A">
        <w:rPr>
          <w:rFonts w:ascii="Times New Roman" w:hAnsi="Times New Roman" w:cs="Times New Roman"/>
          <w:color w:val="000000"/>
          <w:sz w:val="23"/>
          <w:szCs w:val="23"/>
        </w:rPr>
        <w:t xml:space="preserve">and “exempt surplus land” pursuant to </w:t>
      </w:r>
      <w:r w:rsidR="0034225A" w:rsidRPr="00B73A51">
        <w:rPr>
          <w:rFonts w:ascii="Times New Roman" w:hAnsi="Times New Roman" w:cs="Times New Roman"/>
          <w:sz w:val="23"/>
          <w:szCs w:val="23"/>
        </w:rPr>
        <w:t>Government Code Section 54221(f)(1)(</w:t>
      </w:r>
      <w:r w:rsidR="0034225A">
        <w:rPr>
          <w:rFonts w:ascii="Times New Roman" w:hAnsi="Times New Roman" w:cs="Times New Roman"/>
          <w:sz w:val="23"/>
          <w:szCs w:val="23"/>
        </w:rPr>
        <w:t>D</w:t>
      </w:r>
      <w:r w:rsidR="0034225A" w:rsidRPr="00B73A51">
        <w:rPr>
          <w:rFonts w:ascii="Times New Roman" w:hAnsi="Times New Roman" w:cs="Times New Roman"/>
          <w:sz w:val="23"/>
          <w:szCs w:val="23"/>
        </w:rPr>
        <w:t>)</w:t>
      </w:r>
      <w:r w:rsidR="0034225A">
        <w:rPr>
          <w:rFonts w:ascii="Times New Roman" w:hAnsi="Times New Roman" w:cs="Times New Roman"/>
          <w:sz w:val="23"/>
          <w:szCs w:val="23"/>
        </w:rPr>
        <w:t xml:space="preserve"> because one local agency is transferring the Subject Property to another local agency for the receiving agency’s use</w:t>
      </w:r>
      <w:r w:rsidR="00974D09">
        <w:rPr>
          <w:rFonts w:ascii="Times New Roman" w:hAnsi="Times New Roman" w:cs="Times New Roman"/>
          <w:sz w:val="23"/>
          <w:szCs w:val="23"/>
        </w:rPr>
        <w:t xml:space="preserve"> and the Subject Property is not subject to 54221(f)(2)(A) through (D)</w:t>
      </w:r>
      <w:r w:rsidRPr="00B73A51">
        <w:rPr>
          <w:rFonts w:ascii="Times New Roman" w:hAnsi="Times New Roman" w:cs="Times New Roman"/>
          <w:color w:val="000000"/>
          <w:sz w:val="23"/>
          <w:szCs w:val="23"/>
        </w:rPr>
        <w:t>.</w:t>
      </w:r>
    </w:p>
    <w:p w14:paraId="3B087A80" w14:textId="77777777" w:rsidR="00B73A51" w:rsidRPr="00B73A51" w:rsidRDefault="00B73A51" w:rsidP="00B73A51">
      <w:pPr>
        <w:spacing w:after="0" w:line="240" w:lineRule="auto"/>
        <w:ind w:left="720"/>
        <w:rPr>
          <w:rFonts w:ascii="Times New Roman" w:eastAsia="Times New Roman" w:hAnsi="Times New Roman" w:cs="Times New Roman"/>
          <w:color w:val="000000"/>
          <w:sz w:val="23"/>
          <w:szCs w:val="23"/>
        </w:rPr>
      </w:pPr>
    </w:p>
    <w:p w14:paraId="4F5046DB" w14:textId="77777777" w:rsidR="00B73A51" w:rsidRPr="00B73A51" w:rsidRDefault="00B73A51" w:rsidP="00B73A51">
      <w:pPr>
        <w:autoSpaceDE w:val="0"/>
        <w:autoSpaceDN w:val="0"/>
        <w:spacing w:after="0" w:line="240" w:lineRule="auto"/>
        <w:rPr>
          <w:rFonts w:ascii="Times New Roman" w:hAnsi="Times New Roman" w:cs="Times New Roman"/>
          <w:color w:val="000000"/>
          <w:sz w:val="23"/>
          <w:szCs w:val="23"/>
        </w:rPr>
      </w:pPr>
    </w:p>
    <w:p w14:paraId="55BB2EE7" w14:textId="77777777" w:rsidR="00B73A51" w:rsidRPr="00B73A51" w:rsidRDefault="00B73A51" w:rsidP="00B73A51">
      <w:pPr>
        <w:rPr>
          <w:rFonts w:ascii="Times New Roman" w:hAnsi="Times New Roman" w:cs="Times New Roman"/>
          <w:color w:val="000000"/>
          <w:sz w:val="23"/>
          <w:szCs w:val="23"/>
        </w:rPr>
      </w:pPr>
      <w:r w:rsidRPr="00B73A51">
        <w:rPr>
          <w:rFonts w:ascii="Times New Roman" w:hAnsi="Times New Roman" w:cs="Times New Roman"/>
          <w:color w:val="000000"/>
          <w:sz w:val="23"/>
          <w:szCs w:val="23"/>
        </w:rPr>
        <w:br w:type="page"/>
      </w:r>
    </w:p>
    <w:p w14:paraId="09032A9D" w14:textId="77777777" w:rsidR="00B73A51" w:rsidRPr="00B73A51" w:rsidRDefault="00B73A51" w:rsidP="00B73A51">
      <w:pPr>
        <w:spacing w:after="0" w:line="240" w:lineRule="auto"/>
        <w:jc w:val="center"/>
        <w:rPr>
          <w:rFonts w:ascii="Times New Roman" w:hAnsi="Times New Roman" w:cs="Times New Roman"/>
          <w:sz w:val="23"/>
          <w:szCs w:val="23"/>
        </w:rPr>
      </w:pPr>
      <w:r w:rsidRPr="00B73A51">
        <w:rPr>
          <w:rFonts w:ascii="Times New Roman" w:hAnsi="Times New Roman" w:cs="Times New Roman"/>
          <w:sz w:val="23"/>
          <w:szCs w:val="23"/>
        </w:rPr>
        <w:lastRenderedPageBreak/>
        <w:t>Exhibit A</w:t>
      </w:r>
    </w:p>
    <w:p w14:paraId="59868294" w14:textId="77777777" w:rsidR="00B73A51" w:rsidRPr="00B73A51" w:rsidRDefault="00B73A51" w:rsidP="00B73A51">
      <w:pPr>
        <w:spacing w:after="0" w:line="240" w:lineRule="auto"/>
        <w:jc w:val="center"/>
        <w:rPr>
          <w:rFonts w:ascii="Times New Roman" w:hAnsi="Times New Roman" w:cs="Times New Roman"/>
          <w:sz w:val="23"/>
          <w:szCs w:val="23"/>
        </w:rPr>
      </w:pPr>
      <w:r w:rsidRPr="00B73A51">
        <w:rPr>
          <w:rFonts w:ascii="Times New Roman" w:hAnsi="Times New Roman" w:cs="Times New Roman"/>
          <w:sz w:val="23"/>
          <w:szCs w:val="23"/>
        </w:rPr>
        <w:t>Depiction of Subject Properties</w:t>
      </w:r>
    </w:p>
    <w:p w14:paraId="184C54CA" w14:textId="29991292" w:rsidR="00B73A51" w:rsidRDefault="002F2AFE" w:rsidP="00B73A51">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River View Golf</w:t>
      </w:r>
    </w:p>
    <w:p w14:paraId="34D36096" w14:textId="77777777" w:rsidR="002F2AFE" w:rsidRPr="00B73A51" w:rsidRDefault="002F2AFE" w:rsidP="00B73A51">
      <w:pPr>
        <w:spacing w:after="0" w:line="240" w:lineRule="auto"/>
        <w:jc w:val="center"/>
        <w:rPr>
          <w:rFonts w:ascii="Times New Roman" w:hAnsi="Times New Roman" w:cs="Times New Roman"/>
          <w:sz w:val="23"/>
          <w:szCs w:val="23"/>
        </w:rPr>
      </w:pPr>
    </w:p>
    <w:p w14:paraId="4FAD4AB9" w14:textId="248942BF" w:rsidR="00EC37CE" w:rsidRDefault="0035156A" w:rsidP="002F2AFE">
      <w:pPr>
        <w:spacing w:after="0" w:line="240" w:lineRule="auto"/>
        <w:jc w:val="center"/>
        <w:rPr>
          <w:rFonts w:ascii="Calibri" w:hAnsi="Calibri" w:cs="Calibri"/>
          <w:noProof/>
          <w14:ligatures w14:val="standardContextual"/>
        </w:rPr>
      </w:pPr>
      <w:r>
        <w:rPr>
          <w:noProof/>
        </w:rPr>
        <w:drawing>
          <wp:inline distT="0" distB="0" distL="0" distR="0" wp14:anchorId="4598A628" wp14:editId="3D88FC39">
            <wp:extent cx="5286516" cy="7116792"/>
            <wp:effectExtent l="0" t="0" r="0" b="8255"/>
            <wp:docPr id="1697845900"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45900" name="Picture 1" descr="Map&#10;&#10;AI-generated content may be incorrect."/>
                    <pic:cNvPicPr/>
                  </pic:nvPicPr>
                  <pic:blipFill>
                    <a:blip r:embed="rId7"/>
                    <a:stretch>
                      <a:fillRect/>
                    </a:stretch>
                  </pic:blipFill>
                  <pic:spPr>
                    <a:xfrm>
                      <a:off x="0" y="0"/>
                      <a:ext cx="5286516" cy="7116792"/>
                    </a:xfrm>
                    <a:prstGeom prst="rect">
                      <a:avLst/>
                    </a:prstGeom>
                  </pic:spPr>
                </pic:pic>
              </a:graphicData>
            </a:graphic>
          </wp:inline>
        </w:drawing>
      </w:r>
    </w:p>
    <w:sectPr w:rsidR="00EC37CE" w:rsidSect="00EC37CE">
      <w:headerReference w:type="default" r:id="rId8"/>
      <w:footerReference w:type="default" r:id="rId9"/>
      <w:pgSz w:w="12240" w:h="15840"/>
      <w:pgMar w:top="630" w:right="810" w:bottom="1440" w:left="1440" w:header="720" w:footer="8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7D1A" w14:textId="77777777" w:rsidR="000066A1" w:rsidRDefault="000066A1">
      <w:pPr>
        <w:spacing w:after="0" w:line="240" w:lineRule="auto"/>
      </w:pPr>
      <w:r>
        <w:separator/>
      </w:r>
    </w:p>
  </w:endnote>
  <w:endnote w:type="continuationSeparator" w:id="0">
    <w:p w14:paraId="51FE2C43" w14:textId="77777777" w:rsidR="000066A1" w:rsidRDefault="0000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BC6C" w14:textId="77777777" w:rsidR="00EC37CE" w:rsidRDefault="00EC37CE">
    <w:pPr>
      <w:pStyle w:val="Footer"/>
      <w:jc w:val="center"/>
    </w:pPr>
  </w:p>
  <w:p w14:paraId="66856986" w14:textId="77777777" w:rsidR="00EC37CE" w:rsidRDefault="00EC37CE" w:rsidP="00EC37CE">
    <w:pPr>
      <w:pStyle w:val="Footer"/>
      <w:rPr>
        <w:rFonts w:ascii="Times New Roman" w:hAnsi="Times New Roman" w:cs="Times New Roman"/>
        <w:color w:val="000000"/>
        <w:sz w:val="20"/>
        <w:szCs w:val="20"/>
      </w:rPr>
    </w:pPr>
    <w:r w:rsidRPr="00D77917">
      <w:rPr>
        <w:rFonts w:ascii="Times New Roman" w:hAnsi="Times New Roman" w:cs="Times New Roman"/>
        <w:color w:val="000000"/>
        <w:sz w:val="20"/>
        <w:szCs w:val="20"/>
      </w:rPr>
      <w:t xml:space="preserve">Resolution No. </w:t>
    </w:r>
    <w:r>
      <w:rPr>
        <w:rFonts w:ascii="Times New Roman" w:hAnsi="Times New Roman" w:cs="Times New Roman"/>
        <w:color w:val="000000"/>
        <w:sz w:val="20"/>
        <w:szCs w:val="20"/>
      </w:rPr>
      <w:t>_______</w:t>
    </w:r>
    <w:r w:rsidRPr="00D77917">
      <w:rPr>
        <w:rFonts w:ascii="Times New Roman" w:hAnsi="Times New Roman" w:cs="Times New Roman"/>
        <w:color w:val="000000"/>
        <w:sz w:val="20"/>
        <w:szCs w:val="20"/>
      </w:rPr>
      <w:t xml:space="preserve">, Item No. </w:t>
    </w:r>
    <w:r>
      <w:rPr>
        <w:rFonts w:ascii="Times New Roman" w:hAnsi="Times New Roman" w:cs="Times New Roman"/>
        <w:color w:val="000000"/>
        <w:sz w:val="20"/>
        <w:szCs w:val="20"/>
      </w:rPr>
      <w:t>__</w:t>
    </w:r>
    <w:r w:rsidRPr="00D77917">
      <w:rPr>
        <w:rFonts w:ascii="Times New Roman" w:hAnsi="Times New Roman" w:cs="Times New Roman"/>
        <w:color w:val="000000"/>
        <w:sz w:val="20"/>
        <w:szCs w:val="20"/>
      </w:rPr>
      <w:t xml:space="preserve"> </w:t>
    </w:r>
  </w:p>
  <w:p w14:paraId="272E214F" w14:textId="7F959C79" w:rsidR="00EC37CE" w:rsidRDefault="00C03983" w:rsidP="00EC37CE">
    <w:pPr>
      <w:pStyle w:val="Footer"/>
      <w:rPr>
        <w:rFonts w:ascii="Times New Roman" w:hAnsi="Times New Roman" w:cs="Times New Roman"/>
        <w:color w:val="000000"/>
        <w:sz w:val="20"/>
        <w:szCs w:val="20"/>
      </w:rPr>
    </w:pPr>
    <w:r>
      <w:rPr>
        <w:rFonts w:ascii="Times New Roman" w:hAnsi="Times New Roman" w:cs="Times New Roman"/>
        <w:color w:val="000000"/>
        <w:sz w:val="20"/>
        <w:szCs w:val="20"/>
      </w:rPr>
      <w:t>River View Golf</w:t>
    </w:r>
    <w:r w:rsidR="00EC37CE">
      <w:rPr>
        <w:rFonts w:ascii="Times New Roman" w:hAnsi="Times New Roman" w:cs="Times New Roman"/>
        <w:color w:val="000000"/>
        <w:sz w:val="20"/>
        <w:szCs w:val="20"/>
      </w:rPr>
      <w:t>/Surplus Land Act Findings for Exempt Surplus Land</w:t>
    </w:r>
  </w:p>
  <w:p w14:paraId="44D34A2B" w14:textId="77777777" w:rsidR="00EC37CE" w:rsidRDefault="00EC37CE" w:rsidP="00EC37CE">
    <w:pPr>
      <w:pStyle w:val="Footer"/>
    </w:pPr>
  </w:p>
  <w:sdt>
    <w:sdtPr>
      <w:id w:val="1226801214"/>
      <w:docPartObj>
        <w:docPartGallery w:val="Page Numbers (Bottom of Page)"/>
        <w:docPartUnique/>
      </w:docPartObj>
    </w:sdtPr>
    <w:sdtContent>
      <w:sdt>
        <w:sdtPr>
          <w:id w:val="1728636285"/>
          <w:docPartObj>
            <w:docPartGallery w:val="Page Numbers (Top of Page)"/>
            <w:docPartUnique/>
          </w:docPartObj>
        </w:sdtPr>
        <w:sdtContent>
          <w:p w14:paraId="42ECBACC" w14:textId="58EE30CF" w:rsidR="00EC37CE" w:rsidRDefault="00EC37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3511D3" w14:textId="77777777" w:rsidR="00EC37CE" w:rsidRPr="006F1B93" w:rsidRDefault="00EC37C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AC58" w14:textId="77777777" w:rsidR="000066A1" w:rsidRDefault="000066A1">
      <w:pPr>
        <w:spacing w:after="0" w:line="240" w:lineRule="auto"/>
      </w:pPr>
      <w:r>
        <w:separator/>
      </w:r>
    </w:p>
  </w:footnote>
  <w:footnote w:type="continuationSeparator" w:id="0">
    <w:p w14:paraId="27FDDD28" w14:textId="77777777" w:rsidR="000066A1" w:rsidRDefault="00006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3DA5" w14:textId="087CA66C" w:rsidR="00792FF7" w:rsidRDefault="00792FF7" w:rsidP="00CE09BA">
    <w:pPr>
      <w:pStyle w:val="Header"/>
      <w:jc w:val="center"/>
    </w:pPr>
    <w:r w:rsidRPr="00CE09BA">
      <w:rPr>
        <w:rFonts w:ascii="Arial" w:hAnsi="Arial" w:cs="Arial"/>
      </w:rPr>
      <w:t xml:space="preserve">Attachment: </w:t>
    </w:r>
    <w:r w:rsidR="00FC4A91" w:rsidRPr="00CE09BA">
      <w:rPr>
        <w:rFonts w:ascii="Arial" w:hAnsi="Arial" w:cs="Arial"/>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92C79"/>
    <w:multiLevelType w:val="hybridMultilevel"/>
    <w:tmpl w:val="26EA214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55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51"/>
    <w:rsid w:val="000066A1"/>
    <w:rsid w:val="00066438"/>
    <w:rsid w:val="000823A8"/>
    <w:rsid w:val="000B310F"/>
    <w:rsid w:val="00103D92"/>
    <w:rsid w:val="00112C10"/>
    <w:rsid w:val="00124795"/>
    <w:rsid w:val="00280E47"/>
    <w:rsid w:val="002F2AFE"/>
    <w:rsid w:val="0034225A"/>
    <w:rsid w:val="00343C02"/>
    <w:rsid w:val="0035156A"/>
    <w:rsid w:val="003A7FC5"/>
    <w:rsid w:val="003B51C8"/>
    <w:rsid w:val="003C44D5"/>
    <w:rsid w:val="00463961"/>
    <w:rsid w:val="004A441B"/>
    <w:rsid w:val="004F0114"/>
    <w:rsid w:val="005957C4"/>
    <w:rsid w:val="00644E80"/>
    <w:rsid w:val="007447F6"/>
    <w:rsid w:val="007647AD"/>
    <w:rsid w:val="00792FF7"/>
    <w:rsid w:val="00863152"/>
    <w:rsid w:val="00867756"/>
    <w:rsid w:val="00886215"/>
    <w:rsid w:val="00892674"/>
    <w:rsid w:val="00967D96"/>
    <w:rsid w:val="00974D09"/>
    <w:rsid w:val="00984572"/>
    <w:rsid w:val="009B4496"/>
    <w:rsid w:val="009F36A1"/>
    <w:rsid w:val="00A16214"/>
    <w:rsid w:val="00A250D2"/>
    <w:rsid w:val="00A73E02"/>
    <w:rsid w:val="00B73A51"/>
    <w:rsid w:val="00C03983"/>
    <w:rsid w:val="00C47514"/>
    <w:rsid w:val="00CB2D03"/>
    <w:rsid w:val="00CE09BA"/>
    <w:rsid w:val="00E22E20"/>
    <w:rsid w:val="00E512A5"/>
    <w:rsid w:val="00E8742D"/>
    <w:rsid w:val="00EC37CE"/>
    <w:rsid w:val="00FC4A91"/>
    <w:rsid w:val="00FE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7574C"/>
  <w15:chartTrackingRefBased/>
  <w15:docId w15:val="{864B5153-D469-4B24-AFB3-5AEFF25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3A51"/>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B73A51"/>
    <w:rPr>
      <w:rFonts w:ascii="Calibri" w:hAnsi="Calibri" w:cs="Calibri"/>
    </w:rPr>
  </w:style>
  <w:style w:type="paragraph" w:styleId="Header">
    <w:name w:val="header"/>
    <w:basedOn w:val="Normal"/>
    <w:link w:val="HeaderChar"/>
    <w:uiPriority w:val="99"/>
    <w:unhideWhenUsed/>
    <w:rsid w:val="00EC3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7CE"/>
  </w:style>
  <w:style w:type="paragraph" w:styleId="Revision">
    <w:name w:val="Revision"/>
    <w:hidden/>
    <w:uiPriority w:val="99"/>
    <w:semiHidden/>
    <w:rsid w:val="00967D96"/>
    <w:pPr>
      <w:spacing w:after="0" w:line="240" w:lineRule="auto"/>
    </w:pPr>
  </w:style>
  <w:style w:type="character" w:styleId="CommentReference">
    <w:name w:val="annotation reference"/>
    <w:basedOn w:val="DefaultParagraphFont"/>
    <w:uiPriority w:val="99"/>
    <w:semiHidden/>
    <w:unhideWhenUsed/>
    <w:rsid w:val="0034225A"/>
    <w:rPr>
      <w:sz w:val="16"/>
      <w:szCs w:val="16"/>
    </w:rPr>
  </w:style>
  <w:style w:type="paragraph" w:styleId="CommentText">
    <w:name w:val="annotation text"/>
    <w:basedOn w:val="Normal"/>
    <w:link w:val="CommentTextChar"/>
    <w:uiPriority w:val="99"/>
    <w:unhideWhenUsed/>
    <w:rsid w:val="0034225A"/>
    <w:pPr>
      <w:spacing w:line="240" w:lineRule="auto"/>
    </w:pPr>
    <w:rPr>
      <w:sz w:val="20"/>
      <w:szCs w:val="20"/>
    </w:rPr>
  </w:style>
  <w:style w:type="character" w:customStyle="1" w:styleId="CommentTextChar">
    <w:name w:val="Comment Text Char"/>
    <w:basedOn w:val="DefaultParagraphFont"/>
    <w:link w:val="CommentText"/>
    <w:uiPriority w:val="99"/>
    <w:rsid w:val="0034225A"/>
    <w:rPr>
      <w:sz w:val="20"/>
      <w:szCs w:val="20"/>
    </w:rPr>
  </w:style>
  <w:style w:type="paragraph" w:styleId="CommentSubject">
    <w:name w:val="annotation subject"/>
    <w:basedOn w:val="CommentText"/>
    <w:next w:val="CommentText"/>
    <w:link w:val="CommentSubjectChar"/>
    <w:uiPriority w:val="99"/>
    <w:semiHidden/>
    <w:unhideWhenUsed/>
    <w:rsid w:val="0034225A"/>
    <w:rPr>
      <w:b/>
      <w:bCs/>
    </w:rPr>
  </w:style>
  <w:style w:type="character" w:customStyle="1" w:styleId="CommentSubjectChar">
    <w:name w:val="Comment Subject Char"/>
    <w:basedOn w:val="CommentTextChar"/>
    <w:link w:val="CommentSubject"/>
    <w:uiPriority w:val="99"/>
    <w:semiHidden/>
    <w:rsid w:val="003422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958</Words>
  <Characters>5097</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Cardenas, George</dc:creator>
  <cp:keywords/>
  <dc:description/>
  <cp:lastModifiedBy>Koger, Teri</cp:lastModifiedBy>
  <cp:revision>3</cp:revision>
  <cp:lastPrinted>2026-03-18T17:59:00Z</cp:lastPrinted>
  <dcterms:created xsi:type="dcterms:W3CDTF">2026-03-18T17:58:00Z</dcterms:created>
  <dcterms:modified xsi:type="dcterms:W3CDTF">2026-03-18T18:05:00Z</dcterms:modified>
</cp:coreProperties>
</file>